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49" w:rsidRPr="0041654C" w:rsidRDefault="00595049" w:rsidP="00CA3E97">
      <w:pPr>
        <w:spacing w:after="0" w:line="240" w:lineRule="auto"/>
        <w:jc w:val="center"/>
        <w:rPr>
          <w:rFonts w:cs="Times New Roman"/>
          <w:b/>
          <w:sz w:val="32"/>
          <w:szCs w:val="32"/>
        </w:rPr>
      </w:pPr>
      <w:r w:rsidRPr="0041654C">
        <w:rPr>
          <w:rFonts w:cs="Times New Roman"/>
          <w:b/>
          <w:sz w:val="32"/>
          <w:szCs w:val="32"/>
        </w:rPr>
        <w:t>Proiectul</w:t>
      </w:r>
    </w:p>
    <w:p w:rsidR="009C523E" w:rsidRDefault="009C523E" w:rsidP="00CA3E97">
      <w:pPr>
        <w:spacing w:after="0" w:line="240" w:lineRule="auto"/>
        <w:jc w:val="center"/>
        <w:rPr>
          <w:rFonts w:cs="Times New Roman"/>
          <w:b/>
          <w:sz w:val="32"/>
          <w:szCs w:val="32"/>
        </w:rPr>
      </w:pPr>
      <w:r>
        <w:rPr>
          <w:rFonts w:cs="Times New Roman"/>
          <w:b/>
          <w:sz w:val="32"/>
          <w:szCs w:val="32"/>
        </w:rPr>
        <w:t>Set of ac</w:t>
      </w:r>
      <w:r w:rsidR="00006973">
        <w:rPr>
          <w:rFonts w:cs="Times New Roman"/>
          <w:b/>
          <w:sz w:val="32"/>
          <w:szCs w:val="32"/>
        </w:rPr>
        <w:t>tions</w:t>
      </w:r>
      <w:r w:rsidR="00595049" w:rsidRPr="0041654C">
        <w:rPr>
          <w:rFonts w:cs="Times New Roman"/>
          <w:b/>
          <w:sz w:val="32"/>
          <w:szCs w:val="32"/>
        </w:rPr>
        <w:t xml:space="preserve"> Toward</w:t>
      </w:r>
      <w:r>
        <w:rPr>
          <w:rFonts w:cs="Times New Roman"/>
          <w:b/>
          <w:sz w:val="32"/>
          <w:szCs w:val="32"/>
        </w:rPr>
        <w:t xml:space="preserve">s Establishing and Acknowledgement </w:t>
      </w:r>
    </w:p>
    <w:p w:rsidR="009C523E" w:rsidRDefault="00595049" w:rsidP="00CA3E97">
      <w:pPr>
        <w:spacing w:after="0" w:line="240" w:lineRule="auto"/>
        <w:jc w:val="center"/>
        <w:rPr>
          <w:rFonts w:cs="Times New Roman"/>
          <w:b/>
          <w:sz w:val="32"/>
          <w:szCs w:val="32"/>
        </w:rPr>
      </w:pPr>
      <w:r w:rsidRPr="0041654C">
        <w:rPr>
          <w:rFonts w:cs="Times New Roman"/>
          <w:b/>
          <w:sz w:val="32"/>
          <w:szCs w:val="32"/>
        </w:rPr>
        <w:t xml:space="preserve"> </w:t>
      </w:r>
      <w:r w:rsidR="009C523E">
        <w:rPr>
          <w:rFonts w:cs="Times New Roman"/>
          <w:b/>
          <w:sz w:val="32"/>
          <w:szCs w:val="32"/>
        </w:rPr>
        <w:t>of the e</w:t>
      </w:r>
      <w:r w:rsidRPr="0041654C">
        <w:rPr>
          <w:rFonts w:cs="Times New Roman"/>
          <w:b/>
          <w:sz w:val="32"/>
          <w:szCs w:val="32"/>
        </w:rPr>
        <w:t xml:space="preserve">mergent Market </w:t>
      </w:r>
      <w:r w:rsidR="009C523E">
        <w:rPr>
          <w:rFonts w:cs="Times New Roman"/>
          <w:b/>
          <w:sz w:val="32"/>
          <w:szCs w:val="32"/>
        </w:rPr>
        <w:t>s</w:t>
      </w:r>
      <w:r w:rsidRPr="0041654C">
        <w:rPr>
          <w:rFonts w:cs="Times New Roman"/>
          <w:b/>
          <w:sz w:val="32"/>
          <w:szCs w:val="32"/>
        </w:rPr>
        <w:t>tatus</w:t>
      </w:r>
    </w:p>
    <w:p w:rsidR="00595049" w:rsidRPr="0041654C" w:rsidRDefault="00595049" w:rsidP="00CA3E97">
      <w:pPr>
        <w:spacing w:after="0" w:line="240" w:lineRule="auto"/>
        <w:jc w:val="center"/>
        <w:rPr>
          <w:rFonts w:cs="Times New Roman"/>
          <w:b/>
          <w:sz w:val="32"/>
          <w:szCs w:val="32"/>
        </w:rPr>
      </w:pPr>
      <w:r w:rsidRPr="0041654C">
        <w:rPr>
          <w:rFonts w:cs="Times New Roman"/>
          <w:b/>
          <w:sz w:val="32"/>
          <w:szCs w:val="32"/>
        </w:rPr>
        <w:t xml:space="preserve"> (“</w:t>
      </w:r>
      <w:r w:rsidR="00006973">
        <w:rPr>
          <w:rFonts w:cs="Times New Roman"/>
          <w:b/>
          <w:sz w:val="32"/>
          <w:szCs w:val="32"/>
        </w:rPr>
        <w:t>S</w:t>
      </w:r>
      <w:r w:rsidR="009C523E">
        <w:rPr>
          <w:rFonts w:cs="Times New Roman"/>
          <w:b/>
          <w:sz w:val="32"/>
          <w:szCs w:val="32"/>
        </w:rPr>
        <w:t>.</w:t>
      </w:r>
      <w:r w:rsidR="00006973">
        <w:rPr>
          <w:rFonts w:cs="Times New Roman"/>
          <w:b/>
          <w:sz w:val="32"/>
          <w:szCs w:val="32"/>
        </w:rPr>
        <w:t>T</w:t>
      </w:r>
      <w:r w:rsidR="009C523E">
        <w:rPr>
          <w:rFonts w:cs="Times New Roman"/>
          <w:b/>
          <w:sz w:val="32"/>
          <w:szCs w:val="32"/>
        </w:rPr>
        <w:t>.</w:t>
      </w:r>
      <w:r w:rsidR="00006973">
        <w:rPr>
          <w:rFonts w:cs="Times New Roman"/>
          <w:b/>
          <w:sz w:val="32"/>
          <w:szCs w:val="32"/>
        </w:rPr>
        <w:t>E</w:t>
      </w:r>
      <w:r w:rsidR="009C523E">
        <w:rPr>
          <w:rFonts w:cs="Times New Roman"/>
          <w:b/>
          <w:sz w:val="32"/>
          <w:szCs w:val="32"/>
        </w:rPr>
        <w:t>.</w:t>
      </w:r>
      <w:r w:rsidR="00006973">
        <w:rPr>
          <w:rFonts w:cs="Times New Roman"/>
          <w:b/>
          <w:sz w:val="32"/>
          <w:szCs w:val="32"/>
        </w:rPr>
        <w:t>A</w:t>
      </w:r>
      <w:r w:rsidR="009C523E">
        <w:rPr>
          <w:rFonts w:cs="Times New Roman"/>
          <w:b/>
          <w:sz w:val="32"/>
          <w:szCs w:val="32"/>
        </w:rPr>
        <w:t>.</w:t>
      </w:r>
      <w:r w:rsidR="00006973">
        <w:rPr>
          <w:rFonts w:cs="Times New Roman"/>
          <w:b/>
          <w:sz w:val="32"/>
          <w:szCs w:val="32"/>
        </w:rPr>
        <w:t>M</w:t>
      </w:r>
      <w:r w:rsidR="009C523E">
        <w:rPr>
          <w:rFonts w:cs="Times New Roman"/>
          <w:b/>
          <w:sz w:val="32"/>
          <w:szCs w:val="32"/>
        </w:rPr>
        <w:t>.</w:t>
      </w:r>
      <w:r w:rsidRPr="0041654C">
        <w:rPr>
          <w:rFonts w:cs="Times New Roman"/>
          <w:b/>
          <w:sz w:val="32"/>
          <w:szCs w:val="32"/>
        </w:rPr>
        <w:t>”)</w:t>
      </w:r>
    </w:p>
    <w:p w:rsidR="0059434C" w:rsidRDefault="0059434C" w:rsidP="00B44F64">
      <w:pPr>
        <w:ind w:left="-180" w:hanging="900"/>
        <w:rPr>
          <w:rFonts w:cs="Times New Roman"/>
        </w:rPr>
      </w:pPr>
    </w:p>
    <w:p w:rsidR="00006973" w:rsidRPr="0041654C" w:rsidRDefault="00006973" w:rsidP="00B44F64">
      <w:pPr>
        <w:ind w:left="-180" w:hanging="900"/>
        <w:rPr>
          <w:rFonts w:cs="Times New Roman"/>
        </w:rPr>
      </w:pPr>
    </w:p>
    <w:tbl>
      <w:tblPr>
        <w:tblStyle w:val="GrilTabel"/>
        <w:tblW w:w="15480" w:type="dxa"/>
        <w:tblInd w:w="-882" w:type="dxa"/>
        <w:tblLayout w:type="fixed"/>
        <w:tblLook w:val="04A0"/>
      </w:tblPr>
      <w:tblGrid>
        <w:gridCol w:w="706"/>
        <w:gridCol w:w="4244"/>
        <w:gridCol w:w="7380"/>
        <w:gridCol w:w="3150"/>
      </w:tblGrid>
      <w:tr w:rsidR="008D7836" w:rsidRPr="0041654C" w:rsidTr="00B44F64">
        <w:tc>
          <w:tcPr>
            <w:tcW w:w="706" w:type="dxa"/>
          </w:tcPr>
          <w:p w:rsidR="008D7836" w:rsidRPr="004746DE" w:rsidRDefault="008D7836">
            <w:pPr>
              <w:rPr>
                <w:rFonts w:cs="Times New Roman"/>
                <w:b/>
                <w:sz w:val="24"/>
                <w:szCs w:val="24"/>
              </w:rPr>
            </w:pPr>
          </w:p>
          <w:p w:rsidR="00B44F64" w:rsidRPr="004746DE" w:rsidRDefault="008D7836">
            <w:pPr>
              <w:rPr>
                <w:rFonts w:cs="Times New Roman"/>
                <w:b/>
                <w:sz w:val="24"/>
                <w:szCs w:val="24"/>
              </w:rPr>
            </w:pPr>
            <w:r w:rsidRPr="004746DE">
              <w:rPr>
                <w:rFonts w:cs="Times New Roman"/>
                <w:b/>
                <w:sz w:val="24"/>
                <w:szCs w:val="24"/>
              </w:rPr>
              <w:t>Nr.</w:t>
            </w:r>
          </w:p>
          <w:p w:rsidR="008D7836" w:rsidRPr="004746DE" w:rsidRDefault="008D7836">
            <w:pPr>
              <w:rPr>
                <w:rFonts w:cs="Times New Roman"/>
                <w:b/>
              </w:rPr>
            </w:pPr>
            <w:r w:rsidRPr="004746DE">
              <w:rPr>
                <w:rFonts w:cs="Times New Roman"/>
                <w:b/>
                <w:sz w:val="24"/>
                <w:szCs w:val="24"/>
              </w:rPr>
              <w:t>crt.</w:t>
            </w:r>
          </w:p>
        </w:tc>
        <w:tc>
          <w:tcPr>
            <w:tcW w:w="4244" w:type="dxa"/>
          </w:tcPr>
          <w:p w:rsidR="008D7836" w:rsidRPr="004746DE" w:rsidRDefault="008D7836">
            <w:pPr>
              <w:rPr>
                <w:rFonts w:cs="Times New Roman"/>
                <w:b/>
                <w:sz w:val="24"/>
                <w:szCs w:val="24"/>
              </w:rPr>
            </w:pPr>
            <w:r w:rsidRPr="004746DE">
              <w:rPr>
                <w:rFonts w:cs="Times New Roman"/>
                <w:b/>
                <w:sz w:val="24"/>
                <w:szCs w:val="24"/>
              </w:rPr>
              <w:t xml:space="preserve">                 </w:t>
            </w:r>
          </w:p>
          <w:p w:rsidR="008D7836" w:rsidRPr="004746DE" w:rsidRDefault="008D7836" w:rsidP="008F48E4">
            <w:pPr>
              <w:jc w:val="center"/>
              <w:rPr>
                <w:rFonts w:cs="Times New Roman"/>
                <w:b/>
                <w:sz w:val="24"/>
                <w:szCs w:val="24"/>
              </w:rPr>
            </w:pPr>
            <w:r w:rsidRPr="004746DE">
              <w:rPr>
                <w:rFonts w:cs="Times New Roman"/>
                <w:b/>
                <w:sz w:val="24"/>
                <w:szCs w:val="24"/>
              </w:rPr>
              <w:t>OBIECTIV</w:t>
            </w:r>
          </w:p>
          <w:p w:rsidR="008D7836" w:rsidRPr="004746DE" w:rsidRDefault="008D7836">
            <w:pPr>
              <w:rPr>
                <w:rFonts w:cs="Times New Roman"/>
                <w:b/>
              </w:rPr>
            </w:pPr>
          </w:p>
        </w:tc>
        <w:tc>
          <w:tcPr>
            <w:tcW w:w="7380" w:type="dxa"/>
          </w:tcPr>
          <w:p w:rsidR="008D7836" w:rsidRPr="004746DE" w:rsidRDefault="008D7836">
            <w:pPr>
              <w:rPr>
                <w:rFonts w:cs="Times New Roman"/>
                <w:b/>
                <w:sz w:val="24"/>
                <w:szCs w:val="24"/>
              </w:rPr>
            </w:pPr>
            <w:r w:rsidRPr="004746DE">
              <w:rPr>
                <w:rFonts w:cs="Times New Roman"/>
                <w:b/>
                <w:sz w:val="24"/>
                <w:szCs w:val="24"/>
              </w:rPr>
              <w:t xml:space="preserve">                           </w:t>
            </w:r>
          </w:p>
          <w:p w:rsidR="008D7836" w:rsidRPr="004746DE" w:rsidRDefault="008D7836" w:rsidP="008F48E4">
            <w:pPr>
              <w:jc w:val="center"/>
              <w:rPr>
                <w:rFonts w:cs="Times New Roman"/>
                <w:b/>
              </w:rPr>
            </w:pPr>
            <w:r w:rsidRPr="004746DE">
              <w:rPr>
                <w:rFonts w:cs="Times New Roman"/>
                <w:b/>
                <w:sz w:val="24"/>
                <w:szCs w:val="24"/>
              </w:rPr>
              <w:t>ACȚIUNI</w:t>
            </w:r>
          </w:p>
        </w:tc>
        <w:tc>
          <w:tcPr>
            <w:tcW w:w="3150" w:type="dxa"/>
          </w:tcPr>
          <w:p w:rsidR="008D7836" w:rsidRPr="004746DE" w:rsidRDefault="008D7836">
            <w:pPr>
              <w:rPr>
                <w:rFonts w:cs="Times New Roman"/>
                <w:b/>
                <w:sz w:val="24"/>
                <w:szCs w:val="24"/>
              </w:rPr>
            </w:pPr>
            <w:r w:rsidRPr="004746DE">
              <w:rPr>
                <w:rFonts w:cs="Times New Roman"/>
                <w:b/>
                <w:sz w:val="24"/>
                <w:szCs w:val="24"/>
              </w:rPr>
              <w:t xml:space="preserve">                </w:t>
            </w:r>
          </w:p>
          <w:p w:rsidR="008D7836" w:rsidRPr="004746DE" w:rsidRDefault="008D7836" w:rsidP="008F48E4">
            <w:pPr>
              <w:jc w:val="center"/>
              <w:rPr>
                <w:rFonts w:cs="Times New Roman"/>
                <w:b/>
                <w:sz w:val="24"/>
                <w:szCs w:val="24"/>
              </w:rPr>
            </w:pPr>
            <w:r w:rsidRPr="004746DE">
              <w:rPr>
                <w:rFonts w:cs="Times New Roman"/>
                <w:b/>
                <w:sz w:val="24"/>
                <w:szCs w:val="24"/>
              </w:rPr>
              <w:t>TERMEN DE</w:t>
            </w:r>
          </w:p>
          <w:p w:rsidR="008D7836" w:rsidRPr="004746DE" w:rsidRDefault="008D7836" w:rsidP="008F48E4">
            <w:pPr>
              <w:jc w:val="center"/>
              <w:rPr>
                <w:rFonts w:cs="Times New Roman"/>
                <w:b/>
              </w:rPr>
            </w:pPr>
            <w:r w:rsidRPr="004746DE">
              <w:rPr>
                <w:rFonts w:cs="Times New Roman"/>
                <w:b/>
                <w:sz w:val="24"/>
                <w:szCs w:val="24"/>
              </w:rPr>
              <w:t>SOLUȚIONARE</w:t>
            </w:r>
          </w:p>
        </w:tc>
      </w:tr>
      <w:tr w:rsidR="008D7836" w:rsidRPr="0041654C" w:rsidTr="00B44F64">
        <w:trPr>
          <w:trHeight w:val="1833"/>
        </w:trPr>
        <w:tc>
          <w:tcPr>
            <w:tcW w:w="706" w:type="dxa"/>
          </w:tcPr>
          <w:p w:rsidR="008D7836" w:rsidRPr="0041654C" w:rsidRDefault="008D7836">
            <w:pPr>
              <w:rPr>
                <w:rFonts w:cs="Times New Roman"/>
              </w:rPr>
            </w:pPr>
          </w:p>
          <w:p w:rsidR="008D7836" w:rsidRPr="0041654C" w:rsidRDefault="008D7836">
            <w:pPr>
              <w:rPr>
                <w:rFonts w:cs="Times New Roman"/>
              </w:rPr>
            </w:pPr>
          </w:p>
          <w:p w:rsidR="008D7836" w:rsidRPr="0041654C" w:rsidRDefault="008D7836">
            <w:pPr>
              <w:rPr>
                <w:rFonts w:cs="Times New Roman"/>
                <w:b/>
              </w:rPr>
            </w:pPr>
            <w:r w:rsidRPr="0041654C">
              <w:rPr>
                <w:rFonts w:cs="Times New Roman"/>
              </w:rPr>
              <w:t xml:space="preserve">  </w:t>
            </w:r>
            <w:r w:rsidRPr="0041654C">
              <w:rPr>
                <w:rFonts w:cs="Times New Roman"/>
                <w:b/>
              </w:rPr>
              <w:t>1</w:t>
            </w:r>
          </w:p>
        </w:tc>
        <w:tc>
          <w:tcPr>
            <w:tcW w:w="4244" w:type="dxa"/>
          </w:tcPr>
          <w:p w:rsidR="0058384F" w:rsidRDefault="0058384F" w:rsidP="0027599D">
            <w:pPr>
              <w:jc w:val="both"/>
              <w:rPr>
                <w:rFonts w:cs="Times New Roman"/>
                <w:b/>
                <w:sz w:val="24"/>
                <w:szCs w:val="24"/>
              </w:rPr>
            </w:pPr>
          </w:p>
          <w:p w:rsidR="008D7836" w:rsidRPr="0041654C" w:rsidRDefault="008D7836" w:rsidP="0027599D">
            <w:pPr>
              <w:jc w:val="both"/>
              <w:rPr>
                <w:rFonts w:cs="Times New Roman"/>
                <w:b/>
                <w:sz w:val="24"/>
                <w:szCs w:val="24"/>
              </w:rPr>
            </w:pPr>
            <w:r w:rsidRPr="0041654C">
              <w:rPr>
                <w:rFonts w:cs="Times New Roman"/>
                <w:b/>
                <w:sz w:val="24"/>
                <w:szCs w:val="24"/>
              </w:rPr>
              <w:t>Creșterea gradului de accesibilitate și atractivitate a pieței de capital românești prin:</w:t>
            </w:r>
          </w:p>
          <w:p w:rsidR="008D7836" w:rsidRPr="0041654C" w:rsidRDefault="008D7836" w:rsidP="0027599D">
            <w:pPr>
              <w:jc w:val="both"/>
              <w:rPr>
                <w:rFonts w:cs="Times New Roman"/>
                <w:b/>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both"/>
              <w:rPr>
                <w:rFonts w:cs="Times New Roman"/>
                <w:sz w:val="24"/>
                <w:szCs w:val="24"/>
              </w:rPr>
            </w:pPr>
            <w:r w:rsidRPr="0041654C">
              <w:rPr>
                <w:rFonts w:cs="Times New Roman"/>
                <w:b/>
                <w:sz w:val="24"/>
                <w:szCs w:val="24"/>
              </w:rPr>
              <w:t>A.</w:t>
            </w:r>
            <w:r w:rsidRPr="0041654C">
              <w:rPr>
                <w:rFonts w:cs="Times New Roman"/>
                <w:sz w:val="24"/>
                <w:szCs w:val="24"/>
              </w:rPr>
              <w:t xml:space="preserve"> asigurarea unui “equal playing field” pentru toți investitorii străini</w:t>
            </w:r>
          </w:p>
          <w:p w:rsidR="008D7836" w:rsidRPr="0041654C" w:rsidRDefault="008D7836" w:rsidP="0027599D">
            <w:pPr>
              <w:jc w:val="both"/>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27599D">
            <w:pPr>
              <w:jc w:val="center"/>
              <w:rPr>
                <w:rFonts w:cs="Times New Roman"/>
                <w:sz w:val="24"/>
                <w:szCs w:val="24"/>
              </w:rPr>
            </w:pPr>
          </w:p>
          <w:p w:rsidR="008D7836" w:rsidRPr="0041654C" w:rsidRDefault="008D7836" w:rsidP="00BD76BE">
            <w:pPr>
              <w:rPr>
                <w:rFonts w:cs="Times New Roman"/>
                <w:sz w:val="24"/>
                <w:szCs w:val="24"/>
              </w:rPr>
            </w:pPr>
          </w:p>
          <w:p w:rsidR="008D7836" w:rsidRDefault="008D7836" w:rsidP="00CA21A1">
            <w:pPr>
              <w:rPr>
                <w:rFonts w:cs="Times New Roman"/>
                <w:sz w:val="24"/>
                <w:szCs w:val="24"/>
              </w:rPr>
            </w:pPr>
          </w:p>
          <w:p w:rsidR="00006973" w:rsidRDefault="00006973" w:rsidP="00CA21A1">
            <w:pPr>
              <w:rPr>
                <w:rFonts w:cs="Times New Roman"/>
                <w:sz w:val="24"/>
                <w:szCs w:val="24"/>
              </w:rPr>
            </w:pPr>
          </w:p>
          <w:p w:rsidR="00006973" w:rsidRDefault="00006973" w:rsidP="00CA21A1">
            <w:pPr>
              <w:rPr>
                <w:rFonts w:cs="Times New Roman"/>
                <w:sz w:val="24"/>
                <w:szCs w:val="24"/>
              </w:rPr>
            </w:pPr>
          </w:p>
          <w:p w:rsidR="00006973" w:rsidRPr="0041654C" w:rsidRDefault="00006973" w:rsidP="00CA21A1">
            <w:pPr>
              <w:rPr>
                <w:rFonts w:cs="Times New Roman"/>
                <w:sz w:val="24"/>
                <w:szCs w:val="24"/>
              </w:rPr>
            </w:pPr>
          </w:p>
          <w:p w:rsidR="008D7836" w:rsidRPr="0041654C" w:rsidRDefault="008D7836" w:rsidP="0027599D">
            <w:pPr>
              <w:jc w:val="both"/>
              <w:rPr>
                <w:rFonts w:cs="Times New Roman"/>
                <w:sz w:val="24"/>
                <w:szCs w:val="24"/>
              </w:rPr>
            </w:pPr>
            <w:r w:rsidRPr="0041654C">
              <w:rPr>
                <w:rFonts w:cs="Times New Roman"/>
                <w:b/>
                <w:sz w:val="24"/>
                <w:szCs w:val="24"/>
              </w:rPr>
              <w:t>B.</w:t>
            </w:r>
            <w:r w:rsidRPr="0041654C">
              <w:rPr>
                <w:rFonts w:cs="Times New Roman"/>
                <w:sz w:val="24"/>
                <w:szCs w:val="24"/>
              </w:rPr>
              <w:t xml:space="preserve"> Separarea conturilor de tranzacționare de conturile de custodie și decontare.</w:t>
            </w: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D92FFD">
            <w:pPr>
              <w:rPr>
                <w:rFonts w:cs="Times New Roman"/>
                <w:sz w:val="24"/>
                <w:szCs w:val="24"/>
              </w:rPr>
            </w:pPr>
          </w:p>
          <w:p w:rsidR="008D7836" w:rsidRPr="0041654C" w:rsidRDefault="008D7836" w:rsidP="0027599D">
            <w:pPr>
              <w:jc w:val="both"/>
              <w:rPr>
                <w:rFonts w:cs="Times New Roman"/>
                <w:sz w:val="24"/>
                <w:szCs w:val="24"/>
              </w:rPr>
            </w:pPr>
            <w:r w:rsidRPr="0041654C">
              <w:rPr>
                <w:rFonts w:cs="Times New Roman"/>
                <w:b/>
                <w:sz w:val="24"/>
                <w:szCs w:val="24"/>
              </w:rPr>
              <w:t>C.</w:t>
            </w:r>
            <w:r w:rsidRPr="0041654C">
              <w:rPr>
                <w:rFonts w:cs="Times New Roman"/>
                <w:sz w:val="24"/>
                <w:szCs w:val="24"/>
              </w:rPr>
              <w:t xml:space="preserve"> Eliminarea restricțiilor în ceea ce privește decontările OTC</w:t>
            </w:r>
          </w:p>
          <w:p w:rsidR="008D7836" w:rsidRPr="0041654C" w:rsidRDefault="008D7836" w:rsidP="0027599D">
            <w:pPr>
              <w:jc w:val="center"/>
              <w:rPr>
                <w:rFonts w:cs="Times New Roman"/>
                <w:sz w:val="24"/>
                <w:szCs w:val="24"/>
              </w:rPr>
            </w:pPr>
          </w:p>
          <w:p w:rsidR="008D7836" w:rsidRPr="0041654C" w:rsidRDefault="008D7836" w:rsidP="00380208">
            <w:pPr>
              <w:rPr>
                <w:rFonts w:cs="Times New Roman"/>
                <w:sz w:val="24"/>
                <w:szCs w:val="24"/>
              </w:rPr>
            </w:pPr>
          </w:p>
          <w:p w:rsidR="008D7836" w:rsidRPr="0041654C" w:rsidRDefault="008D7836" w:rsidP="004F603C">
            <w:pPr>
              <w:rPr>
                <w:rFonts w:cs="Times New Roman"/>
                <w:sz w:val="24"/>
                <w:szCs w:val="24"/>
              </w:rPr>
            </w:pPr>
          </w:p>
          <w:p w:rsidR="008D7836" w:rsidRPr="0041654C" w:rsidRDefault="008D7836" w:rsidP="0027599D">
            <w:pPr>
              <w:jc w:val="both"/>
              <w:rPr>
                <w:rFonts w:cs="Times New Roman"/>
                <w:sz w:val="24"/>
                <w:szCs w:val="24"/>
              </w:rPr>
            </w:pPr>
            <w:r w:rsidRPr="0041654C">
              <w:rPr>
                <w:rFonts w:eastAsia="Times New Roman" w:cs="Times New Roman"/>
                <w:b/>
                <w:sz w:val="24"/>
                <w:szCs w:val="24"/>
              </w:rPr>
              <w:t>D.</w:t>
            </w:r>
            <w:r w:rsidRPr="0041654C">
              <w:rPr>
                <w:rFonts w:eastAsia="Times New Roman" w:cs="Times New Roman"/>
                <w:sz w:val="24"/>
                <w:szCs w:val="24"/>
              </w:rPr>
              <w:t xml:space="preserve"> </w:t>
            </w:r>
            <w:r w:rsidRPr="0041654C">
              <w:rPr>
                <w:rFonts w:cs="Times New Roman"/>
                <w:sz w:val="24"/>
                <w:szCs w:val="24"/>
              </w:rPr>
              <w:t>Simplificarea procedurilor privind deschiderea unui cont pentru investitorii străini și înregistrarea acestora și a măsurilor de cunoaștere a clientelei.</w:t>
            </w:r>
          </w:p>
          <w:p w:rsidR="008D7836" w:rsidRPr="0041654C" w:rsidRDefault="008D7836" w:rsidP="0027599D">
            <w:pPr>
              <w:rPr>
                <w:rFonts w:cs="Times New Roman"/>
                <w:sz w:val="24"/>
                <w:szCs w:val="24"/>
              </w:rPr>
            </w:pPr>
          </w:p>
          <w:p w:rsidR="008D7836" w:rsidRPr="0041654C" w:rsidRDefault="008D7836" w:rsidP="0027599D">
            <w:pPr>
              <w:rPr>
                <w:rFonts w:cs="Times New Roman"/>
                <w:sz w:val="24"/>
                <w:szCs w:val="24"/>
              </w:rPr>
            </w:pPr>
          </w:p>
          <w:p w:rsidR="008D7836" w:rsidRPr="0041654C" w:rsidRDefault="008D7836" w:rsidP="0027599D">
            <w:pPr>
              <w:autoSpaceDE w:val="0"/>
              <w:autoSpaceDN w:val="0"/>
              <w:adjustRightInd w:val="0"/>
              <w:jc w:val="both"/>
              <w:rPr>
                <w:rFonts w:cs="Times New Roman"/>
                <w:sz w:val="24"/>
                <w:szCs w:val="24"/>
              </w:rPr>
            </w:pPr>
            <w:r w:rsidRPr="0041654C">
              <w:rPr>
                <w:rFonts w:cs="Times New Roman"/>
                <w:b/>
                <w:sz w:val="24"/>
                <w:szCs w:val="24"/>
              </w:rPr>
              <w:t>E.</w:t>
            </w:r>
            <w:r w:rsidRPr="0041654C">
              <w:rPr>
                <w:rFonts w:cs="Times New Roman"/>
                <w:sz w:val="24"/>
                <w:szCs w:val="24"/>
              </w:rPr>
              <w:t xml:space="preserve"> Simplificarea cerințelor de conformitate pentru evenimentele corporative și votul prin procură</w:t>
            </w:r>
          </w:p>
          <w:p w:rsidR="00EA1CBC" w:rsidRPr="0041654C" w:rsidRDefault="00EA1CBC" w:rsidP="0027599D">
            <w:pPr>
              <w:rPr>
                <w:rFonts w:cs="Times New Roman"/>
                <w:sz w:val="24"/>
                <w:szCs w:val="24"/>
              </w:rPr>
            </w:pPr>
          </w:p>
          <w:p w:rsidR="008D7836" w:rsidRDefault="008D7836" w:rsidP="00097D50">
            <w:pPr>
              <w:autoSpaceDE w:val="0"/>
              <w:autoSpaceDN w:val="0"/>
              <w:adjustRightInd w:val="0"/>
              <w:jc w:val="both"/>
              <w:rPr>
                <w:rFonts w:cs="Times New Roman"/>
                <w:sz w:val="24"/>
                <w:szCs w:val="24"/>
              </w:rPr>
            </w:pPr>
            <w:r w:rsidRPr="0041654C">
              <w:rPr>
                <w:rFonts w:cs="Times New Roman"/>
                <w:b/>
                <w:sz w:val="24"/>
                <w:szCs w:val="24"/>
              </w:rPr>
              <w:t>F.</w:t>
            </w:r>
            <w:r w:rsidRPr="0041654C">
              <w:rPr>
                <w:rFonts w:cs="Times New Roman"/>
                <w:sz w:val="24"/>
                <w:szCs w:val="24"/>
              </w:rPr>
              <w:t xml:space="preserve"> Introducerea unui sistem  centralizat de plată a dividendelor în vederea simplificării procedurii de încasare și reducerii perioadei în care se vor acorda dividendele.</w:t>
            </w:r>
          </w:p>
          <w:p w:rsidR="008D7836" w:rsidRPr="0041654C" w:rsidRDefault="008D7836" w:rsidP="0071361C">
            <w:pPr>
              <w:rPr>
                <w:rFonts w:cs="Times New Roman"/>
                <w:sz w:val="24"/>
                <w:szCs w:val="24"/>
              </w:rPr>
            </w:pPr>
          </w:p>
          <w:p w:rsidR="008D7836" w:rsidRPr="0041654C" w:rsidRDefault="008D7836" w:rsidP="008466A5">
            <w:pPr>
              <w:jc w:val="both"/>
              <w:rPr>
                <w:rFonts w:cs="Times New Roman"/>
                <w:sz w:val="24"/>
                <w:szCs w:val="24"/>
              </w:rPr>
            </w:pPr>
            <w:r w:rsidRPr="0041654C">
              <w:rPr>
                <w:rFonts w:cs="Times New Roman"/>
                <w:b/>
                <w:sz w:val="24"/>
                <w:szCs w:val="24"/>
              </w:rPr>
              <w:t xml:space="preserve">G. </w:t>
            </w:r>
            <w:r w:rsidRPr="0041654C">
              <w:rPr>
                <w:rFonts w:cs="Times New Roman"/>
                <w:sz w:val="24"/>
                <w:szCs w:val="24"/>
              </w:rPr>
              <w:t>Extinderea posibilității efectuării de tranzacții turnaround pentru o arie mai largă de instrumente financiare.</w:t>
            </w:r>
          </w:p>
          <w:p w:rsidR="008D7836" w:rsidRPr="0041654C" w:rsidRDefault="008D7836" w:rsidP="008466A5">
            <w:pPr>
              <w:jc w:val="both"/>
              <w:rPr>
                <w:rFonts w:cs="Times New Roman"/>
                <w:sz w:val="24"/>
                <w:szCs w:val="24"/>
              </w:rPr>
            </w:pPr>
          </w:p>
          <w:p w:rsidR="00056608" w:rsidRDefault="00056608" w:rsidP="008466A5">
            <w:pPr>
              <w:jc w:val="both"/>
              <w:rPr>
                <w:rFonts w:cs="Times New Roman"/>
                <w:sz w:val="24"/>
                <w:szCs w:val="24"/>
              </w:rPr>
            </w:pPr>
          </w:p>
          <w:p w:rsidR="00E45B0E" w:rsidRPr="0041654C" w:rsidRDefault="00E45B0E" w:rsidP="008466A5">
            <w:pPr>
              <w:jc w:val="both"/>
              <w:rPr>
                <w:rFonts w:cs="Times New Roman"/>
                <w:sz w:val="24"/>
                <w:szCs w:val="24"/>
              </w:rPr>
            </w:pPr>
          </w:p>
          <w:p w:rsidR="008D7836" w:rsidRPr="0041654C" w:rsidRDefault="008D7836" w:rsidP="002515A4">
            <w:pPr>
              <w:jc w:val="both"/>
              <w:rPr>
                <w:rFonts w:cs="Times New Roman"/>
                <w:b/>
                <w:color w:val="FF0000"/>
              </w:rPr>
            </w:pPr>
            <w:r w:rsidRPr="0041654C">
              <w:rPr>
                <w:rFonts w:cs="Times New Roman"/>
                <w:b/>
                <w:sz w:val="24"/>
                <w:szCs w:val="24"/>
              </w:rPr>
              <w:t>H.</w:t>
            </w:r>
            <w:r w:rsidRPr="0041654C">
              <w:rPr>
                <w:rFonts w:cs="Times New Roman"/>
                <w:b/>
                <w:color w:val="FF0000"/>
                <w:sz w:val="24"/>
                <w:szCs w:val="24"/>
              </w:rPr>
              <w:t xml:space="preserve"> </w:t>
            </w:r>
            <w:r w:rsidRPr="0041654C">
              <w:rPr>
                <w:sz w:val="24"/>
                <w:szCs w:val="24"/>
              </w:rPr>
              <w:t>Îmbunătățirea activității de registru a D</w:t>
            </w:r>
            <w:r w:rsidR="002515A4">
              <w:rPr>
                <w:sz w:val="24"/>
                <w:szCs w:val="24"/>
              </w:rPr>
              <w:t xml:space="preserve">epozitarului </w:t>
            </w:r>
            <w:r w:rsidRPr="0041654C">
              <w:rPr>
                <w:sz w:val="24"/>
                <w:szCs w:val="24"/>
              </w:rPr>
              <w:t>C</w:t>
            </w:r>
            <w:r w:rsidR="002515A4">
              <w:rPr>
                <w:sz w:val="24"/>
                <w:szCs w:val="24"/>
              </w:rPr>
              <w:t>entral</w:t>
            </w:r>
          </w:p>
        </w:tc>
        <w:tc>
          <w:tcPr>
            <w:tcW w:w="7380" w:type="dxa"/>
          </w:tcPr>
          <w:p w:rsidR="008D7836" w:rsidRPr="0041654C" w:rsidRDefault="008D7836" w:rsidP="00D615CD">
            <w:pPr>
              <w:tabs>
                <w:tab w:val="left" w:pos="0"/>
              </w:tabs>
              <w:suppressAutoHyphens/>
              <w:jc w:val="both"/>
              <w:rPr>
                <w:rFonts w:cs="Times New Roman"/>
                <w:sz w:val="24"/>
                <w:szCs w:val="24"/>
              </w:rPr>
            </w:pPr>
          </w:p>
          <w:p w:rsidR="008D7836" w:rsidRDefault="008D7836" w:rsidP="00D615CD">
            <w:pPr>
              <w:tabs>
                <w:tab w:val="left" w:pos="0"/>
              </w:tabs>
              <w:suppressAutoHyphens/>
              <w:jc w:val="both"/>
              <w:rPr>
                <w:rFonts w:cs="Times New Roman"/>
                <w:sz w:val="24"/>
                <w:szCs w:val="24"/>
              </w:rPr>
            </w:pPr>
          </w:p>
          <w:p w:rsidR="00006973" w:rsidRDefault="00006973" w:rsidP="00D615CD">
            <w:pPr>
              <w:tabs>
                <w:tab w:val="left" w:pos="0"/>
              </w:tabs>
              <w:suppressAutoHyphens/>
              <w:jc w:val="both"/>
              <w:rPr>
                <w:rFonts w:cs="Times New Roman"/>
                <w:sz w:val="24"/>
                <w:szCs w:val="24"/>
              </w:rPr>
            </w:pPr>
          </w:p>
          <w:p w:rsidR="00006973" w:rsidRPr="0041654C" w:rsidRDefault="00006973" w:rsidP="00D615CD">
            <w:pPr>
              <w:tabs>
                <w:tab w:val="left" w:pos="0"/>
              </w:tabs>
              <w:suppressAutoHyphens/>
              <w:jc w:val="both"/>
              <w:rPr>
                <w:rFonts w:cs="Times New Roman"/>
                <w:sz w:val="24"/>
                <w:szCs w:val="24"/>
              </w:rPr>
            </w:pPr>
          </w:p>
          <w:p w:rsidR="008D7836" w:rsidRPr="0041654C" w:rsidRDefault="008D7836" w:rsidP="0027599D">
            <w:pPr>
              <w:pStyle w:val="Listparagraf"/>
              <w:numPr>
                <w:ilvl w:val="0"/>
                <w:numId w:val="12"/>
              </w:numPr>
              <w:tabs>
                <w:tab w:val="left" w:pos="0"/>
              </w:tabs>
              <w:suppressAutoHyphens/>
              <w:ind w:left="0" w:firstLine="77"/>
              <w:jc w:val="both"/>
              <w:rPr>
                <w:rFonts w:cs="Times New Roman"/>
                <w:sz w:val="24"/>
                <w:szCs w:val="24"/>
              </w:rPr>
            </w:pPr>
            <w:r w:rsidRPr="0041654C">
              <w:rPr>
                <w:rFonts w:cs="Times New Roman"/>
                <w:sz w:val="24"/>
                <w:szCs w:val="24"/>
              </w:rPr>
              <w:t>Îmbunătățirea accesului investitorilor străini la legislația aplicabilă în domeniul pieței de capital românești prin traducerea în limba engleză a legislației primare și secundare relevante și publicarea acestora pe pagina de internet a ASF in</w:t>
            </w:r>
            <w:r w:rsidR="004E412F">
              <w:rPr>
                <w:rFonts w:cs="Times New Roman"/>
                <w:sz w:val="24"/>
                <w:szCs w:val="24"/>
              </w:rPr>
              <w:t>clusiv într-o abordare tematică</w:t>
            </w:r>
          </w:p>
          <w:p w:rsidR="008D7836" w:rsidRPr="0041654C" w:rsidRDefault="008D7836" w:rsidP="00535589">
            <w:pPr>
              <w:pStyle w:val="Listparagraf"/>
              <w:tabs>
                <w:tab w:val="left" w:pos="0"/>
              </w:tabs>
              <w:suppressAutoHyphens/>
              <w:ind w:left="77"/>
              <w:jc w:val="both"/>
              <w:rPr>
                <w:rFonts w:cs="Times New Roman"/>
                <w:sz w:val="24"/>
                <w:szCs w:val="24"/>
              </w:rPr>
            </w:pPr>
          </w:p>
          <w:p w:rsidR="008D7836" w:rsidRDefault="008D7836" w:rsidP="0027599D">
            <w:pPr>
              <w:pStyle w:val="Listparagraf"/>
              <w:numPr>
                <w:ilvl w:val="0"/>
                <w:numId w:val="12"/>
              </w:numPr>
              <w:tabs>
                <w:tab w:val="left" w:pos="0"/>
              </w:tabs>
              <w:suppressAutoHyphens/>
              <w:ind w:left="0" w:firstLine="77"/>
              <w:jc w:val="both"/>
              <w:rPr>
                <w:rFonts w:cs="Times New Roman"/>
                <w:sz w:val="24"/>
                <w:szCs w:val="24"/>
              </w:rPr>
            </w:pPr>
            <w:r w:rsidRPr="0041654C">
              <w:rPr>
                <w:rFonts w:cs="Times New Roman"/>
                <w:sz w:val="24"/>
                <w:szCs w:val="24"/>
              </w:rPr>
              <w:t>Îmbunătățirea/acordarea accesului  de către operatorii de piață/depozitarii centrali la informațiile privind companiile admise la tranzacționare pe piața de capital precum și la alte informații relevante (alerte, știr</w:t>
            </w:r>
            <w:r w:rsidR="004E412F">
              <w:rPr>
                <w:rFonts w:cs="Times New Roman"/>
                <w:sz w:val="24"/>
                <w:szCs w:val="24"/>
              </w:rPr>
              <w:t>i corporative) în limba engleză</w:t>
            </w:r>
          </w:p>
          <w:p w:rsidR="009C523E" w:rsidRPr="009C523E" w:rsidRDefault="009C523E" w:rsidP="009C523E">
            <w:pPr>
              <w:tabs>
                <w:tab w:val="left" w:pos="0"/>
              </w:tabs>
              <w:suppressAutoHyphens/>
              <w:jc w:val="both"/>
              <w:rPr>
                <w:rFonts w:cs="Times New Roman"/>
                <w:sz w:val="24"/>
                <w:szCs w:val="24"/>
              </w:rPr>
            </w:pPr>
          </w:p>
          <w:p w:rsidR="008D7836" w:rsidRPr="0041654C" w:rsidRDefault="008D7836" w:rsidP="00BC6B3C">
            <w:pPr>
              <w:pStyle w:val="Listparagraf"/>
              <w:rPr>
                <w:rFonts w:cs="Times New Roman"/>
                <w:sz w:val="24"/>
                <w:szCs w:val="24"/>
              </w:rPr>
            </w:pPr>
          </w:p>
          <w:p w:rsidR="008D7836" w:rsidRPr="0041654C" w:rsidRDefault="008D7836" w:rsidP="00BC6B3C">
            <w:pPr>
              <w:pStyle w:val="Listparagraf"/>
              <w:numPr>
                <w:ilvl w:val="0"/>
                <w:numId w:val="12"/>
              </w:numPr>
              <w:tabs>
                <w:tab w:val="left" w:pos="0"/>
              </w:tabs>
              <w:suppressAutoHyphens/>
              <w:ind w:left="0" w:firstLine="77"/>
              <w:jc w:val="both"/>
              <w:rPr>
                <w:rFonts w:cs="Times New Roman"/>
                <w:sz w:val="24"/>
                <w:szCs w:val="24"/>
              </w:rPr>
            </w:pPr>
            <w:r w:rsidRPr="0041654C">
              <w:rPr>
                <w:rFonts w:cs="Times New Roman"/>
                <w:sz w:val="24"/>
                <w:szCs w:val="24"/>
              </w:rPr>
              <w:t>Îmbunătățirea comunicării între depozitarii centrali/operatorii de piață și brokeri/custozi</w:t>
            </w:r>
          </w:p>
          <w:p w:rsidR="008D7836" w:rsidRPr="0041654C" w:rsidRDefault="008D7836" w:rsidP="00BC6B3C">
            <w:pPr>
              <w:pStyle w:val="Listparagraf"/>
              <w:tabs>
                <w:tab w:val="left" w:pos="0"/>
              </w:tabs>
              <w:suppressAutoHyphens/>
              <w:ind w:left="77"/>
              <w:jc w:val="both"/>
              <w:rPr>
                <w:rFonts w:cs="Times New Roman"/>
                <w:sz w:val="24"/>
                <w:szCs w:val="24"/>
              </w:rPr>
            </w:pPr>
          </w:p>
          <w:p w:rsidR="008D7836" w:rsidRPr="0041654C" w:rsidRDefault="008D7836" w:rsidP="00D92FFD">
            <w:pPr>
              <w:tabs>
                <w:tab w:val="left" w:pos="0"/>
              </w:tabs>
              <w:suppressAutoHyphens/>
              <w:jc w:val="both"/>
              <w:rPr>
                <w:rFonts w:cs="Times New Roman"/>
                <w:sz w:val="24"/>
                <w:szCs w:val="24"/>
              </w:rPr>
            </w:pPr>
          </w:p>
          <w:p w:rsidR="008D7836" w:rsidRPr="0041654C" w:rsidRDefault="008D7836" w:rsidP="00535589">
            <w:pPr>
              <w:pStyle w:val="Listparagraf"/>
              <w:numPr>
                <w:ilvl w:val="0"/>
                <w:numId w:val="12"/>
              </w:numPr>
              <w:suppressAutoHyphens/>
              <w:ind w:left="0" w:firstLine="176"/>
              <w:jc w:val="both"/>
              <w:rPr>
                <w:rFonts w:cs="Times New Roman"/>
                <w:sz w:val="24"/>
                <w:szCs w:val="24"/>
              </w:rPr>
            </w:pPr>
            <w:r w:rsidRPr="0041654C">
              <w:rPr>
                <w:rFonts w:eastAsia="Times New Roman" w:cs="Times New Roman"/>
                <w:sz w:val="24"/>
                <w:szCs w:val="24"/>
              </w:rPr>
              <w:t>Analizarea oportunității și a implicațiilor introducerii obligativităţii pentru emitenţii listați pe piața reglementată administrată de BVB/Sibex de a transmite rapoartele curente publicate pe site-ul bursei și în limba engleză prin modificarea corespunzăt</w:t>
            </w:r>
            <w:r w:rsidR="004E412F">
              <w:rPr>
                <w:rFonts w:eastAsia="Times New Roman" w:cs="Times New Roman"/>
                <w:sz w:val="24"/>
                <w:szCs w:val="24"/>
              </w:rPr>
              <w:t>oare a Regulamentului nr.1/2006</w:t>
            </w:r>
          </w:p>
          <w:p w:rsidR="008D7836" w:rsidRDefault="008D7836" w:rsidP="00BD76BE">
            <w:pPr>
              <w:tabs>
                <w:tab w:val="left" w:pos="426"/>
              </w:tabs>
              <w:suppressAutoHyphens/>
              <w:jc w:val="both"/>
              <w:rPr>
                <w:rFonts w:cs="Times New Roman"/>
                <w:sz w:val="24"/>
                <w:szCs w:val="24"/>
              </w:rPr>
            </w:pPr>
          </w:p>
          <w:p w:rsidR="002E2E7A" w:rsidRPr="0041654C" w:rsidRDefault="002E2E7A" w:rsidP="00BD76BE">
            <w:pPr>
              <w:tabs>
                <w:tab w:val="left" w:pos="426"/>
              </w:tabs>
              <w:suppressAutoHyphens/>
              <w:jc w:val="both"/>
              <w:rPr>
                <w:rFonts w:cs="Times New Roman"/>
                <w:sz w:val="24"/>
                <w:szCs w:val="24"/>
              </w:rPr>
            </w:pPr>
          </w:p>
          <w:p w:rsidR="008D7836" w:rsidRPr="0041654C" w:rsidRDefault="008D7836" w:rsidP="0027599D">
            <w:pPr>
              <w:pStyle w:val="Listparagraf"/>
              <w:numPr>
                <w:ilvl w:val="0"/>
                <w:numId w:val="12"/>
              </w:numPr>
              <w:ind w:left="-64" w:firstLine="64"/>
              <w:jc w:val="both"/>
              <w:rPr>
                <w:rFonts w:cs="Times New Roman"/>
                <w:sz w:val="24"/>
                <w:szCs w:val="24"/>
              </w:rPr>
            </w:pPr>
            <w:r w:rsidRPr="0041654C">
              <w:rPr>
                <w:rFonts w:cs="Times New Roman"/>
                <w:sz w:val="24"/>
                <w:szCs w:val="24"/>
              </w:rPr>
              <w:t>Modificarea Codului Depozitarului Central în vederea restricționării accesului direct al brokerilor la conturile de instrumente financiare ale clienților agenț</w:t>
            </w:r>
            <w:r w:rsidR="004E412F">
              <w:rPr>
                <w:rFonts w:cs="Times New Roman"/>
                <w:sz w:val="24"/>
                <w:szCs w:val="24"/>
              </w:rPr>
              <w:t>ilor custode</w:t>
            </w:r>
          </w:p>
          <w:p w:rsidR="008D7836" w:rsidRPr="0041654C" w:rsidRDefault="008D7836" w:rsidP="0027599D">
            <w:pPr>
              <w:pStyle w:val="Listparagraf"/>
              <w:numPr>
                <w:ilvl w:val="0"/>
                <w:numId w:val="12"/>
              </w:numPr>
              <w:ind w:left="-64" w:firstLine="64"/>
              <w:jc w:val="both"/>
              <w:rPr>
                <w:rFonts w:cs="Times New Roman"/>
                <w:sz w:val="24"/>
                <w:szCs w:val="24"/>
              </w:rPr>
            </w:pPr>
            <w:r w:rsidRPr="0041654C">
              <w:rPr>
                <w:rFonts w:cs="Times New Roman"/>
                <w:sz w:val="24"/>
                <w:szCs w:val="24"/>
              </w:rPr>
              <w:t>Modificarea Codului Bursei de Valori București</w:t>
            </w:r>
          </w:p>
          <w:p w:rsidR="008D7836" w:rsidRPr="0041654C" w:rsidRDefault="008D7836" w:rsidP="0027599D">
            <w:pPr>
              <w:pStyle w:val="Listparagraf"/>
              <w:tabs>
                <w:tab w:val="left" w:pos="426"/>
              </w:tabs>
              <w:suppressAutoHyphens/>
              <w:ind w:left="426"/>
              <w:jc w:val="both"/>
              <w:rPr>
                <w:rFonts w:cs="Times New Roman"/>
                <w:sz w:val="24"/>
                <w:szCs w:val="24"/>
              </w:rPr>
            </w:pPr>
          </w:p>
          <w:p w:rsidR="008D7836" w:rsidRDefault="008D7836" w:rsidP="0027599D">
            <w:pPr>
              <w:tabs>
                <w:tab w:val="left" w:pos="426"/>
              </w:tabs>
              <w:suppressAutoHyphens/>
              <w:jc w:val="both"/>
              <w:rPr>
                <w:rFonts w:cs="Times New Roman"/>
                <w:sz w:val="24"/>
                <w:szCs w:val="24"/>
              </w:rPr>
            </w:pPr>
          </w:p>
          <w:p w:rsidR="002E2E7A" w:rsidRPr="0041654C" w:rsidRDefault="002E2E7A" w:rsidP="0027599D">
            <w:pPr>
              <w:tabs>
                <w:tab w:val="left" w:pos="426"/>
              </w:tabs>
              <w:suppressAutoHyphens/>
              <w:jc w:val="both"/>
              <w:rPr>
                <w:rFonts w:cs="Times New Roman"/>
                <w:sz w:val="24"/>
                <w:szCs w:val="24"/>
              </w:rPr>
            </w:pPr>
          </w:p>
          <w:p w:rsidR="008D7836" w:rsidRPr="0041654C" w:rsidRDefault="008D7836" w:rsidP="0027599D">
            <w:pPr>
              <w:pStyle w:val="Listparagraf"/>
              <w:numPr>
                <w:ilvl w:val="0"/>
                <w:numId w:val="12"/>
              </w:numPr>
              <w:tabs>
                <w:tab w:val="left" w:pos="426"/>
              </w:tabs>
              <w:suppressAutoHyphens/>
              <w:ind w:left="0" w:firstLine="0"/>
              <w:jc w:val="both"/>
              <w:rPr>
                <w:rFonts w:cs="Times New Roman"/>
                <w:sz w:val="24"/>
                <w:szCs w:val="24"/>
              </w:rPr>
            </w:pPr>
            <w:r w:rsidRPr="0041654C">
              <w:rPr>
                <w:rFonts w:cs="Times New Roman"/>
                <w:sz w:val="24"/>
                <w:szCs w:val="24"/>
              </w:rPr>
              <w:t>Analizarea implicațiilor si a oportunității decontării</w:t>
            </w:r>
            <w:r w:rsidRPr="0041654C">
              <w:rPr>
                <w:rFonts w:cs="Times New Roman"/>
                <w:color w:val="FF0000"/>
                <w:sz w:val="24"/>
                <w:szCs w:val="24"/>
              </w:rPr>
              <w:t xml:space="preserve"> </w:t>
            </w:r>
            <w:r w:rsidRPr="0041654C">
              <w:rPr>
                <w:rFonts w:cs="Times New Roman"/>
                <w:sz w:val="24"/>
                <w:szCs w:val="24"/>
              </w:rPr>
              <w:t>de tranzacții OTC cu toate instrumentele financiare înregistrate în</w:t>
            </w:r>
            <w:r w:rsidR="004E412F">
              <w:rPr>
                <w:rFonts w:cs="Times New Roman"/>
                <w:sz w:val="24"/>
                <w:szCs w:val="24"/>
              </w:rPr>
              <w:t xml:space="preserve"> sistemul Depozitarului Central</w:t>
            </w:r>
          </w:p>
          <w:p w:rsidR="008D7836" w:rsidRPr="0041654C" w:rsidRDefault="008D7836" w:rsidP="0027599D">
            <w:pPr>
              <w:tabs>
                <w:tab w:val="left" w:pos="426"/>
              </w:tabs>
              <w:suppressAutoHyphens/>
              <w:jc w:val="both"/>
              <w:rPr>
                <w:rFonts w:cs="Times New Roman"/>
                <w:sz w:val="24"/>
                <w:szCs w:val="24"/>
              </w:rPr>
            </w:pPr>
          </w:p>
          <w:p w:rsidR="008D7836" w:rsidRDefault="008D7836" w:rsidP="0027599D">
            <w:pPr>
              <w:tabs>
                <w:tab w:val="left" w:pos="426"/>
              </w:tabs>
              <w:suppressAutoHyphens/>
              <w:jc w:val="both"/>
              <w:rPr>
                <w:rFonts w:cs="Times New Roman"/>
                <w:sz w:val="24"/>
                <w:szCs w:val="24"/>
              </w:rPr>
            </w:pPr>
          </w:p>
          <w:p w:rsidR="0058384F" w:rsidRPr="0041654C" w:rsidRDefault="0058384F" w:rsidP="0027599D">
            <w:pPr>
              <w:tabs>
                <w:tab w:val="left" w:pos="426"/>
              </w:tabs>
              <w:suppressAutoHyphens/>
              <w:jc w:val="both"/>
              <w:rPr>
                <w:rFonts w:cs="Times New Roman"/>
                <w:sz w:val="24"/>
                <w:szCs w:val="24"/>
              </w:rPr>
            </w:pPr>
          </w:p>
          <w:p w:rsidR="008D7836" w:rsidRPr="0041654C" w:rsidRDefault="008D7836" w:rsidP="0027599D">
            <w:pPr>
              <w:pStyle w:val="Listparagraf"/>
              <w:numPr>
                <w:ilvl w:val="0"/>
                <w:numId w:val="12"/>
              </w:numPr>
              <w:tabs>
                <w:tab w:val="left" w:pos="426"/>
              </w:tabs>
              <w:suppressAutoHyphens/>
              <w:ind w:left="34" w:firstLine="0"/>
              <w:jc w:val="both"/>
              <w:rPr>
                <w:rFonts w:cs="Times New Roman"/>
                <w:sz w:val="24"/>
                <w:szCs w:val="24"/>
              </w:rPr>
            </w:pPr>
            <w:r w:rsidRPr="0041654C">
              <w:rPr>
                <w:rFonts w:cs="Times New Roman"/>
                <w:sz w:val="24"/>
                <w:szCs w:val="24"/>
              </w:rPr>
              <w:t>Modificarea Regulamentului nr.32/2006</w:t>
            </w:r>
            <w:r w:rsidR="002E2E7A">
              <w:rPr>
                <w:rFonts w:cs="Times New Roman"/>
                <w:sz w:val="24"/>
                <w:szCs w:val="24"/>
              </w:rPr>
              <w:t xml:space="preserve">  în ceea ce privește documentaț</w:t>
            </w:r>
            <w:r w:rsidRPr="0041654C">
              <w:rPr>
                <w:rFonts w:cs="Times New Roman"/>
                <w:sz w:val="24"/>
                <w:szCs w:val="24"/>
              </w:rPr>
              <w:t>ia solicitată intermediarilor pentru deschiderea unui cont pentru un client și referi</w:t>
            </w:r>
            <w:r w:rsidR="004E412F">
              <w:rPr>
                <w:rFonts w:cs="Times New Roman"/>
                <w:sz w:val="24"/>
                <w:szCs w:val="24"/>
              </w:rPr>
              <w:t>toare la cunoașterea clientelei</w:t>
            </w:r>
          </w:p>
          <w:p w:rsidR="008D7836" w:rsidRPr="0041654C" w:rsidRDefault="008D7836" w:rsidP="00E1451C">
            <w:pPr>
              <w:tabs>
                <w:tab w:val="left" w:pos="426"/>
              </w:tabs>
              <w:suppressAutoHyphens/>
              <w:jc w:val="both"/>
              <w:rPr>
                <w:rFonts w:cs="Times New Roman"/>
                <w:sz w:val="24"/>
                <w:szCs w:val="24"/>
              </w:rPr>
            </w:pPr>
          </w:p>
          <w:p w:rsidR="008D7836" w:rsidRPr="0041654C" w:rsidRDefault="008D7836" w:rsidP="0027599D">
            <w:pPr>
              <w:suppressAutoHyphens/>
              <w:jc w:val="both"/>
              <w:rPr>
                <w:rFonts w:cs="Times New Roman"/>
                <w:sz w:val="24"/>
                <w:szCs w:val="24"/>
              </w:rPr>
            </w:pPr>
          </w:p>
          <w:p w:rsidR="008D7836" w:rsidRPr="0041654C" w:rsidRDefault="008D7836" w:rsidP="0027599D">
            <w:pPr>
              <w:suppressAutoHyphens/>
              <w:jc w:val="both"/>
              <w:rPr>
                <w:rFonts w:cs="Times New Roman"/>
                <w:sz w:val="24"/>
                <w:szCs w:val="24"/>
              </w:rPr>
            </w:pPr>
          </w:p>
          <w:p w:rsidR="008D7836" w:rsidRDefault="008D7836" w:rsidP="003F2AA7">
            <w:pPr>
              <w:pStyle w:val="Listparagraf"/>
              <w:numPr>
                <w:ilvl w:val="0"/>
                <w:numId w:val="12"/>
              </w:numPr>
              <w:tabs>
                <w:tab w:val="left" w:pos="426"/>
              </w:tabs>
              <w:suppressAutoHyphens/>
              <w:ind w:left="34" w:firstLine="0"/>
              <w:jc w:val="both"/>
              <w:rPr>
                <w:rFonts w:cs="Times New Roman"/>
                <w:sz w:val="24"/>
                <w:szCs w:val="24"/>
              </w:rPr>
            </w:pPr>
            <w:r w:rsidRPr="0041654C">
              <w:rPr>
                <w:rFonts w:cs="Times New Roman"/>
                <w:sz w:val="24"/>
                <w:szCs w:val="24"/>
              </w:rPr>
              <w:t>Modificarea Legii nr.29</w:t>
            </w:r>
            <w:r w:rsidR="004746DE">
              <w:rPr>
                <w:rFonts w:cs="Times New Roman"/>
                <w:sz w:val="24"/>
                <w:szCs w:val="24"/>
              </w:rPr>
              <w:t>7/2004 privind piața de capital</w:t>
            </w:r>
          </w:p>
          <w:p w:rsidR="00097D50" w:rsidRPr="00097D50" w:rsidRDefault="00097D50" w:rsidP="00097D50">
            <w:pPr>
              <w:tabs>
                <w:tab w:val="left" w:pos="426"/>
              </w:tabs>
              <w:suppressAutoHyphens/>
              <w:jc w:val="both"/>
              <w:rPr>
                <w:rFonts w:cs="Times New Roman"/>
                <w:sz w:val="24"/>
                <w:szCs w:val="24"/>
              </w:rPr>
            </w:pPr>
          </w:p>
          <w:p w:rsidR="008D7836" w:rsidRPr="0041654C" w:rsidRDefault="008D7836" w:rsidP="001767EA">
            <w:pPr>
              <w:pStyle w:val="Listparagraf"/>
              <w:tabs>
                <w:tab w:val="left" w:pos="426"/>
              </w:tabs>
              <w:suppressAutoHyphens/>
              <w:jc w:val="both"/>
              <w:rPr>
                <w:rFonts w:cs="Times New Roman"/>
                <w:sz w:val="24"/>
                <w:szCs w:val="24"/>
              </w:rPr>
            </w:pPr>
          </w:p>
          <w:p w:rsidR="00EA1CBC" w:rsidRPr="0041654C" w:rsidRDefault="00EA1CBC" w:rsidP="00380208">
            <w:pPr>
              <w:tabs>
                <w:tab w:val="left" w:pos="426"/>
              </w:tabs>
              <w:suppressAutoHyphens/>
              <w:jc w:val="both"/>
              <w:rPr>
                <w:rFonts w:cs="Times New Roman"/>
                <w:sz w:val="24"/>
                <w:szCs w:val="24"/>
              </w:rPr>
            </w:pPr>
          </w:p>
          <w:p w:rsidR="008D7836" w:rsidRPr="0041654C" w:rsidRDefault="008D7836" w:rsidP="00097D50">
            <w:pPr>
              <w:pStyle w:val="Listparagraf"/>
              <w:numPr>
                <w:ilvl w:val="0"/>
                <w:numId w:val="12"/>
              </w:numPr>
              <w:tabs>
                <w:tab w:val="left" w:pos="34"/>
              </w:tabs>
              <w:suppressAutoHyphens/>
              <w:jc w:val="both"/>
              <w:rPr>
                <w:rFonts w:cs="Times New Roman"/>
                <w:sz w:val="24"/>
                <w:szCs w:val="24"/>
              </w:rPr>
            </w:pPr>
            <w:r w:rsidRPr="0041654C">
              <w:rPr>
                <w:rFonts w:cs="Times New Roman"/>
                <w:sz w:val="24"/>
                <w:szCs w:val="24"/>
              </w:rPr>
              <w:t>Modificarea Regulamentului nr.1/2006 și a Regulamentului nr.6/2009</w:t>
            </w:r>
          </w:p>
          <w:p w:rsidR="008D7836" w:rsidRPr="0041654C" w:rsidRDefault="008D7836" w:rsidP="0027599D">
            <w:pPr>
              <w:tabs>
                <w:tab w:val="left" w:pos="426"/>
              </w:tabs>
              <w:suppressAutoHyphens/>
              <w:jc w:val="both"/>
              <w:rPr>
                <w:rFonts w:cs="Times New Roman"/>
                <w:sz w:val="24"/>
                <w:szCs w:val="24"/>
              </w:rPr>
            </w:pPr>
          </w:p>
          <w:p w:rsidR="008D7836" w:rsidRPr="0041654C" w:rsidRDefault="008D7836" w:rsidP="0027599D">
            <w:pPr>
              <w:tabs>
                <w:tab w:val="left" w:pos="426"/>
              </w:tabs>
              <w:suppressAutoHyphens/>
              <w:jc w:val="both"/>
              <w:rPr>
                <w:rFonts w:cs="Times New Roman"/>
                <w:sz w:val="24"/>
                <w:szCs w:val="24"/>
              </w:rPr>
            </w:pPr>
          </w:p>
          <w:p w:rsidR="008D7836" w:rsidRDefault="008D7836" w:rsidP="0027599D">
            <w:pPr>
              <w:tabs>
                <w:tab w:val="left" w:pos="426"/>
              </w:tabs>
              <w:suppressAutoHyphens/>
              <w:jc w:val="both"/>
              <w:rPr>
                <w:rFonts w:cs="Times New Roman"/>
                <w:sz w:val="24"/>
                <w:szCs w:val="24"/>
              </w:rPr>
            </w:pPr>
          </w:p>
          <w:p w:rsidR="00E45B0E" w:rsidRPr="0041654C" w:rsidRDefault="00E45B0E" w:rsidP="0027599D">
            <w:pPr>
              <w:tabs>
                <w:tab w:val="left" w:pos="426"/>
              </w:tabs>
              <w:suppressAutoHyphens/>
              <w:jc w:val="both"/>
              <w:rPr>
                <w:rFonts w:cs="Times New Roman"/>
                <w:sz w:val="24"/>
                <w:szCs w:val="24"/>
              </w:rPr>
            </w:pPr>
          </w:p>
          <w:p w:rsidR="008D7836" w:rsidRPr="0041654C" w:rsidRDefault="008D7836" w:rsidP="0027599D">
            <w:pPr>
              <w:tabs>
                <w:tab w:val="left" w:pos="426"/>
              </w:tabs>
              <w:suppressAutoHyphens/>
              <w:jc w:val="both"/>
              <w:rPr>
                <w:rFonts w:cs="Times New Roman"/>
                <w:sz w:val="24"/>
                <w:szCs w:val="24"/>
              </w:rPr>
            </w:pPr>
          </w:p>
          <w:p w:rsidR="008D7836" w:rsidRPr="0041654C" w:rsidRDefault="008D7836" w:rsidP="0027599D">
            <w:pPr>
              <w:pStyle w:val="Listparagraf"/>
              <w:numPr>
                <w:ilvl w:val="0"/>
                <w:numId w:val="12"/>
              </w:numPr>
              <w:suppressAutoHyphens/>
              <w:ind w:left="0" w:firstLine="0"/>
              <w:jc w:val="both"/>
              <w:rPr>
                <w:rFonts w:cs="Times New Roman"/>
                <w:sz w:val="24"/>
                <w:szCs w:val="24"/>
              </w:rPr>
            </w:pPr>
            <w:r w:rsidRPr="0041654C">
              <w:rPr>
                <w:rFonts w:cs="Times New Roman"/>
                <w:sz w:val="24"/>
                <w:szCs w:val="24"/>
              </w:rPr>
              <w:t>Modificarea Codului Depozitarului Central</w:t>
            </w:r>
          </w:p>
          <w:p w:rsidR="008D7836" w:rsidRPr="0041654C" w:rsidRDefault="008D7836" w:rsidP="00BC6B3C">
            <w:pPr>
              <w:suppressAutoHyphens/>
              <w:jc w:val="both"/>
              <w:rPr>
                <w:rFonts w:cs="Times New Roman"/>
                <w:sz w:val="24"/>
                <w:szCs w:val="24"/>
              </w:rPr>
            </w:pPr>
          </w:p>
          <w:p w:rsidR="008D7836" w:rsidRPr="0041654C" w:rsidRDefault="008D7836" w:rsidP="00BC6B3C">
            <w:pPr>
              <w:suppressAutoHyphens/>
              <w:jc w:val="both"/>
              <w:rPr>
                <w:rFonts w:cs="Times New Roman"/>
                <w:sz w:val="24"/>
                <w:szCs w:val="24"/>
              </w:rPr>
            </w:pPr>
          </w:p>
          <w:p w:rsidR="008D7836" w:rsidRPr="0041654C" w:rsidRDefault="008D7836" w:rsidP="00BC6B3C">
            <w:pPr>
              <w:suppressAutoHyphens/>
              <w:jc w:val="both"/>
              <w:rPr>
                <w:rFonts w:cs="Times New Roman"/>
                <w:sz w:val="24"/>
                <w:szCs w:val="24"/>
              </w:rPr>
            </w:pPr>
          </w:p>
          <w:p w:rsidR="0003400D" w:rsidRPr="0041654C" w:rsidRDefault="0003400D" w:rsidP="00BC6B3C">
            <w:pPr>
              <w:suppressAutoHyphens/>
              <w:jc w:val="both"/>
              <w:rPr>
                <w:rFonts w:cs="Times New Roman"/>
                <w:sz w:val="24"/>
                <w:szCs w:val="24"/>
              </w:rPr>
            </w:pPr>
          </w:p>
          <w:p w:rsidR="008D7836" w:rsidRPr="0041654C" w:rsidRDefault="008D7836" w:rsidP="0027599D">
            <w:pPr>
              <w:pStyle w:val="Listparagraf"/>
              <w:numPr>
                <w:ilvl w:val="0"/>
                <w:numId w:val="12"/>
              </w:numPr>
              <w:suppressAutoHyphens/>
              <w:ind w:left="0" w:firstLine="0"/>
              <w:jc w:val="both"/>
              <w:rPr>
                <w:rFonts w:cs="Times New Roman"/>
                <w:sz w:val="24"/>
                <w:szCs w:val="24"/>
              </w:rPr>
            </w:pPr>
            <w:r w:rsidRPr="0041654C">
              <w:rPr>
                <w:sz w:val="24"/>
                <w:szCs w:val="24"/>
              </w:rPr>
              <w:t>Realizarea în mod conjugat de către ASF și Depozitarul Central a unei analize privind oportunitatea, fezabilitatea și implicațiile desființării secțiunii 1 din cadrul sistemului de conturi din cadrul DC și alocare</w:t>
            </w:r>
            <w:r w:rsidR="004E412F">
              <w:rPr>
                <w:sz w:val="24"/>
                <w:szCs w:val="24"/>
              </w:rPr>
              <w:t>a conturilor către participanți</w:t>
            </w:r>
          </w:p>
          <w:p w:rsidR="008D7836" w:rsidRPr="0041654C" w:rsidRDefault="008D7836">
            <w:pPr>
              <w:rPr>
                <w:rFonts w:cs="Times New Roman"/>
              </w:rPr>
            </w:pPr>
          </w:p>
        </w:tc>
        <w:tc>
          <w:tcPr>
            <w:tcW w:w="3150" w:type="dxa"/>
          </w:tcPr>
          <w:p w:rsidR="008D7836" w:rsidRPr="0041654C" w:rsidRDefault="008D7836">
            <w:pPr>
              <w:rPr>
                <w:rFonts w:cs="Times New Roman"/>
              </w:rPr>
            </w:pPr>
          </w:p>
          <w:p w:rsidR="008D7836" w:rsidRPr="0041654C" w:rsidRDefault="008D7836">
            <w:pPr>
              <w:rPr>
                <w:rFonts w:cs="Times New Roman"/>
              </w:rPr>
            </w:pPr>
          </w:p>
          <w:p w:rsidR="008D7836" w:rsidRDefault="008D7836">
            <w:pPr>
              <w:rPr>
                <w:rFonts w:cs="Times New Roman"/>
              </w:rPr>
            </w:pPr>
          </w:p>
          <w:p w:rsidR="00006973" w:rsidRDefault="00006973">
            <w:pPr>
              <w:rPr>
                <w:rFonts w:cs="Times New Roman"/>
              </w:rPr>
            </w:pPr>
          </w:p>
          <w:p w:rsidR="00006973" w:rsidRDefault="00006973">
            <w:pPr>
              <w:rPr>
                <w:rFonts w:cs="Times New Roman"/>
              </w:rPr>
            </w:pPr>
          </w:p>
          <w:p w:rsidR="00006973" w:rsidRPr="0041654C" w:rsidRDefault="00006973">
            <w:pPr>
              <w:rPr>
                <w:rFonts w:cs="Times New Roman"/>
              </w:rPr>
            </w:pPr>
          </w:p>
          <w:p w:rsidR="008D7836" w:rsidRPr="0041654C" w:rsidRDefault="008D7836" w:rsidP="008C7E4F">
            <w:pPr>
              <w:jc w:val="center"/>
              <w:rPr>
                <w:rFonts w:cs="Times New Roman"/>
                <w:sz w:val="24"/>
                <w:szCs w:val="24"/>
              </w:rPr>
            </w:pPr>
            <w:r w:rsidRPr="0041654C">
              <w:rPr>
                <w:rFonts w:cs="Times New Roman"/>
                <w:sz w:val="24"/>
                <w:szCs w:val="24"/>
              </w:rPr>
              <w:t>Semestrul I 2015</w:t>
            </w: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sz w:val="24"/>
                <w:szCs w:val="24"/>
              </w:rPr>
            </w:pPr>
            <w:r w:rsidRPr="0041654C">
              <w:rPr>
                <w:rFonts w:cs="Times New Roman"/>
                <w:sz w:val="24"/>
                <w:szCs w:val="24"/>
              </w:rPr>
              <w:t>Decembrie  2014</w:t>
            </w:r>
          </w:p>
          <w:p w:rsidR="008D7836" w:rsidRPr="0041654C" w:rsidRDefault="008D7836" w:rsidP="008C7E4F">
            <w:pPr>
              <w:jc w:val="center"/>
              <w:rPr>
                <w:rFonts w:cs="Times New Roman"/>
              </w:rPr>
            </w:pPr>
          </w:p>
          <w:p w:rsidR="008D7836" w:rsidRDefault="008D7836" w:rsidP="008C7E4F">
            <w:pPr>
              <w:jc w:val="center"/>
              <w:rPr>
                <w:rFonts w:cs="Times New Roman"/>
              </w:rPr>
            </w:pPr>
          </w:p>
          <w:p w:rsidR="009C523E" w:rsidRPr="0041654C" w:rsidRDefault="009C523E" w:rsidP="008C7E4F">
            <w:pPr>
              <w:jc w:val="center"/>
              <w:rPr>
                <w:rFonts w:cs="Times New Roman"/>
              </w:rPr>
            </w:pPr>
          </w:p>
          <w:p w:rsidR="008D7836" w:rsidRDefault="008D7836" w:rsidP="00006973">
            <w:pPr>
              <w:rPr>
                <w:rFonts w:cs="Times New Roman"/>
              </w:rPr>
            </w:pPr>
          </w:p>
          <w:p w:rsidR="008D7836" w:rsidRPr="0041654C" w:rsidRDefault="008D7836" w:rsidP="008C7E4F">
            <w:pPr>
              <w:jc w:val="center"/>
              <w:rPr>
                <w:rFonts w:cs="Times New Roman"/>
              </w:rPr>
            </w:pPr>
            <w:r w:rsidRPr="0041654C">
              <w:rPr>
                <w:rFonts w:cs="Times New Roman"/>
                <w:sz w:val="24"/>
                <w:szCs w:val="24"/>
              </w:rPr>
              <w:t>Semestrul II 2015</w:t>
            </w:r>
          </w:p>
          <w:p w:rsidR="008D7836" w:rsidRPr="0041654C" w:rsidRDefault="008D7836" w:rsidP="008C7E4F">
            <w:pPr>
              <w:jc w:val="center"/>
              <w:rPr>
                <w:rFonts w:cs="Times New Roman"/>
              </w:rPr>
            </w:pPr>
          </w:p>
          <w:p w:rsidR="008D7836" w:rsidRDefault="008D7836" w:rsidP="00006973">
            <w:pPr>
              <w:rPr>
                <w:rFonts w:cs="Times New Roman"/>
                <w:sz w:val="24"/>
                <w:szCs w:val="24"/>
              </w:rPr>
            </w:pPr>
          </w:p>
          <w:p w:rsidR="002E2E7A" w:rsidRDefault="002E2E7A" w:rsidP="008C7E4F">
            <w:pPr>
              <w:jc w:val="center"/>
              <w:rPr>
                <w:rFonts w:cs="Times New Roman"/>
                <w:sz w:val="24"/>
                <w:szCs w:val="24"/>
              </w:rPr>
            </w:pPr>
          </w:p>
          <w:p w:rsidR="00006973" w:rsidRPr="0041654C" w:rsidRDefault="00006973" w:rsidP="008C7E4F">
            <w:pPr>
              <w:jc w:val="center"/>
              <w:rPr>
                <w:rFonts w:cs="Times New Roman"/>
                <w:sz w:val="24"/>
                <w:szCs w:val="24"/>
              </w:rPr>
            </w:pPr>
          </w:p>
          <w:p w:rsidR="008D7836" w:rsidRPr="0041654C" w:rsidRDefault="008D7836" w:rsidP="008C7E4F">
            <w:pPr>
              <w:jc w:val="center"/>
              <w:rPr>
                <w:rFonts w:cs="Times New Roman"/>
                <w:sz w:val="24"/>
                <w:szCs w:val="24"/>
              </w:rPr>
            </w:pPr>
            <w:r w:rsidRPr="0041654C">
              <w:rPr>
                <w:rFonts w:cs="Times New Roman"/>
                <w:sz w:val="24"/>
                <w:szCs w:val="24"/>
              </w:rPr>
              <w:t>Decembrie 2014</w:t>
            </w:r>
          </w:p>
          <w:p w:rsidR="008D7836" w:rsidRPr="0041654C" w:rsidRDefault="008D7836" w:rsidP="008C7E4F">
            <w:pPr>
              <w:jc w:val="center"/>
              <w:rPr>
                <w:rFonts w:cs="Times New Roman"/>
              </w:rPr>
            </w:pPr>
          </w:p>
          <w:p w:rsidR="008D7836" w:rsidRPr="0041654C" w:rsidRDefault="008D7836">
            <w:pPr>
              <w:rPr>
                <w:rFonts w:cs="Times New Roman"/>
              </w:rPr>
            </w:pPr>
          </w:p>
          <w:p w:rsidR="008D7836" w:rsidRPr="0041654C" w:rsidRDefault="008D7836">
            <w:pPr>
              <w:rPr>
                <w:rFonts w:cs="Times New Roman"/>
              </w:rPr>
            </w:pPr>
          </w:p>
          <w:p w:rsidR="008D7836" w:rsidRPr="0041654C" w:rsidRDefault="008D7836">
            <w:pPr>
              <w:rPr>
                <w:rFonts w:cs="Times New Roman"/>
              </w:rPr>
            </w:pPr>
          </w:p>
          <w:p w:rsidR="008D7836" w:rsidRPr="0041654C" w:rsidRDefault="008D7836">
            <w:pPr>
              <w:rPr>
                <w:rFonts w:cs="Times New Roman"/>
              </w:rPr>
            </w:pPr>
          </w:p>
          <w:p w:rsidR="00420160" w:rsidRDefault="00420160" w:rsidP="00420160">
            <w:pPr>
              <w:jc w:val="center"/>
              <w:rPr>
                <w:rFonts w:cs="Times New Roman"/>
                <w:color w:val="FF0000"/>
                <w:sz w:val="24"/>
                <w:szCs w:val="24"/>
              </w:rPr>
            </w:pPr>
          </w:p>
          <w:p w:rsidR="008D7836" w:rsidRPr="004F603C" w:rsidRDefault="00426092" w:rsidP="00420160">
            <w:pPr>
              <w:jc w:val="center"/>
              <w:rPr>
                <w:rFonts w:cs="Times New Roman"/>
                <w:sz w:val="24"/>
                <w:szCs w:val="24"/>
              </w:rPr>
            </w:pPr>
            <w:r w:rsidRPr="004F603C">
              <w:rPr>
                <w:rFonts w:cs="Times New Roman"/>
                <w:sz w:val="24"/>
                <w:szCs w:val="24"/>
              </w:rPr>
              <w:t>Obiectiv realizat</w:t>
            </w:r>
            <w:r w:rsidR="004F603C">
              <w:rPr>
                <w:rStyle w:val="Referinnotdesubsol"/>
                <w:rFonts w:cs="Times New Roman"/>
                <w:sz w:val="24"/>
                <w:szCs w:val="24"/>
              </w:rPr>
              <w:footnoteReference w:id="2"/>
            </w:r>
          </w:p>
          <w:p w:rsidR="008D7836" w:rsidRPr="0041654C" w:rsidRDefault="008D7836">
            <w:pPr>
              <w:rPr>
                <w:rFonts w:cs="Times New Roman"/>
              </w:rPr>
            </w:pPr>
          </w:p>
          <w:p w:rsidR="008D7836" w:rsidRPr="0041654C" w:rsidRDefault="008D7836">
            <w:pPr>
              <w:rPr>
                <w:rFonts w:cs="Times New Roman"/>
                <w:sz w:val="24"/>
                <w:szCs w:val="24"/>
              </w:rPr>
            </w:pPr>
          </w:p>
          <w:p w:rsidR="008D7836" w:rsidRPr="0041654C" w:rsidRDefault="008D7836">
            <w:pPr>
              <w:rPr>
                <w:rFonts w:cs="Times New Roman"/>
                <w:sz w:val="24"/>
                <w:szCs w:val="24"/>
              </w:rPr>
            </w:pPr>
          </w:p>
          <w:p w:rsidR="008D7836" w:rsidRPr="0041654C" w:rsidRDefault="008D7836">
            <w:pPr>
              <w:rPr>
                <w:rFonts w:cs="Times New Roman"/>
                <w:sz w:val="24"/>
                <w:szCs w:val="24"/>
              </w:rPr>
            </w:pPr>
          </w:p>
          <w:p w:rsidR="008D7836" w:rsidRPr="0041654C" w:rsidRDefault="008D7836">
            <w:pPr>
              <w:rPr>
                <w:rFonts w:cs="Times New Roman"/>
                <w:sz w:val="24"/>
                <w:szCs w:val="24"/>
              </w:rPr>
            </w:pPr>
          </w:p>
          <w:p w:rsidR="00420160" w:rsidRPr="004F603C" w:rsidRDefault="00420160" w:rsidP="00420160">
            <w:pPr>
              <w:jc w:val="center"/>
              <w:rPr>
                <w:rFonts w:cs="Times New Roman"/>
                <w:sz w:val="24"/>
                <w:szCs w:val="24"/>
              </w:rPr>
            </w:pPr>
            <w:r w:rsidRPr="004F603C">
              <w:rPr>
                <w:sz w:val="24"/>
                <w:szCs w:val="24"/>
              </w:rPr>
              <w:t>Trimestrul I 2015</w:t>
            </w:r>
          </w:p>
          <w:p w:rsidR="008D7836" w:rsidRPr="0041654C" w:rsidRDefault="008D7836" w:rsidP="00380208">
            <w:pPr>
              <w:jc w:val="center"/>
              <w:rPr>
                <w:rFonts w:cs="Times New Roman"/>
                <w:sz w:val="24"/>
                <w:szCs w:val="24"/>
              </w:rPr>
            </w:pPr>
          </w:p>
          <w:p w:rsidR="00420160" w:rsidRDefault="00420160">
            <w:pPr>
              <w:rPr>
                <w:rFonts w:cs="Times New Roman"/>
                <w:color w:val="FF0000"/>
                <w:sz w:val="24"/>
                <w:szCs w:val="24"/>
              </w:rPr>
            </w:pPr>
          </w:p>
          <w:p w:rsidR="00420160" w:rsidRDefault="00420160">
            <w:pPr>
              <w:rPr>
                <w:rFonts w:cs="Times New Roman"/>
                <w:color w:val="FF0000"/>
                <w:sz w:val="24"/>
                <w:szCs w:val="24"/>
              </w:rPr>
            </w:pPr>
          </w:p>
          <w:p w:rsidR="00420160" w:rsidRDefault="00420160">
            <w:pPr>
              <w:rPr>
                <w:rFonts w:cs="Times New Roman"/>
                <w:color w:val="FF0000"/>
                <w:sz w:val="24"/>
                <w:szCs w:val="24"/>
              </w:rPr>
            </w:pPr>
          </w:p>
          <w:p w:rsidR="008D7836" w:rsidRPr="004F603C" w:rsidRDefault="008D7836" w:rsidP="004F603C">
            <w:pPr>
              <w:jc w:val="both"/>
              <w:rPr>
                <w:rFonts w:cs="Times New Roman"/>
                <w:sz w:val="24"/>
                <w:szCs w:val="24"/>
              </w:rPr>
            </w:pPr>
            <w:r w:rsidRPr="004F603C">
              <w:rPr>
                <w:rFonts w:cs="Times New Roman"/>
                <w:sz w:val="24"/>
                <w:szCs w:val="24"/>
              </w:rPr>
              <w:t>Realizare</w:t>
            </w:r>
            <w:r w:rsidR="00EA1CBC" w:rsidRPr="004F603C">
              <w:rPr>
                <w:rFonts w:cs="Times New Roman"/>
                <w:sz w:val="24"/>
                <w:szCs w:val="24"/>
              </w:rPr>
              <w:t>a</w:t>
            </w:r>
            <w:r w:rsidRPr="004F603C">
              <w:rPr>
                <w:rFonts w:cs="Times New Roman"/>
                <w:sz w:val="24"/>
                <w:szCs w:val="24"/>
              </w:rPr>
              <w:t xml:space="preserve"> obiectiv</w:t>
            </w:r>
            <w:r w:rsidR="00EA1CBC" w:rsidRPr="004F603C">
              <w:rPr>
                <w:rFonts w:cs="Times New Roman"/>
                <w:sz w:val="24"/>
                <w:szCs w:val="24"/>
              </w:rPr>
              <w:t>ului</w:t>
            </w:r>
            <w:r w:rsidR="008C7E4F" w:rsidRPr="004F603C">
              <w:rPr>
                <w:rFonts w:cs="Times New Roman"/>
                <w:sz w:val="24"/>
                <w:szCs w:val="24"/>
              </w:rPr>
              <w:t xml:space="preserve"> este</w:t>
            </w:r>
            <w:r w:rsidR="002E2E7A" w:rsidRPr="004F603C">
              <w:rPr>
                <w:rFonts w:cs="Times New Roman"/>
                <w:sz w:val="24"/>
                <w:szCs w:val="24"/>
              </w:rPr>
              <w:t xml:space="preserve"> în derulare, prin inițierea procesului de m</w:t>
            </w:r>
            <w:r w:rsidR="00420160" w:rsidRPr="004F603C">
              <w:rPr>
                <w:rFonts w:cs="Times New Roman"/>
                <w:sz w:val="24"/>
                <w:szCs w:val="24"/>
              </w:rPr>
              <w:t>odificare a Regulamentului nr. 32</w:t>
            </w:r>
            <w:r w:rsidR="002E2E7A" w:rsidRPr="004F603C">
              <w:rPr>
                <w:rFonts w:cs="Times New Roman"/>
                <w:sz w:val="24"/>
                <w:szCs w:val="24"/>
              </w:rPr>
              <w:t>/2006</w:t>
            </w:r>
          </w:p>
          <w:p w:rsidR="008D7836" w:rsidRPr="004F603C" w:rsidRDefault="008D7836" w:rsidP="004F603C">
            <w:pPr>
              <w:jc w:val="both"/>
              <w:rPr>
                <w:rFonts w:cs="Times New Roman"/>
                <w:sz w:val="24"/>
                <w:szCs w:val="24"/>
              </w:rPr>
            </w:pPr>
          </w:p>
          <w:p w:rsidR="008D7836" w:rsidRDefault="008D7836" w:rsidP="003F2AA7">
            <w:pPr>
              <w:rPr>
                <w:rFonts w:cs="Times New Roman"/>
                <w:sz w:val="24"/>
                <w:szCs w:val="24"/>
              </w:rPr>
            </w:pPr>
          </w:p>
          <w:p w:rsidR="008D7836" w:rsidRPr="004F603C" w:rsidRDefault="008D7836" w:rsidP="004F603C">
            <w:pPr>
              <w:jc w:val="both"/>
              <w:rPr>
                <w:rFonts w:cs="Times New Roman"/>
                <w:sz w:val="24"/>
                <w:szCs w:val="24"/>
              </w:rPr>
            </w:pPr>
            <w:r w:rsidRPr="004F603C">
              <w:rPr>
                <w:rFonts w:cs="Times New Roman"/>
                <w:sz w:val="24"/>
                <w:szCs w:val="24"/>
              </w:rPr>
              <w:t>Realizarea obiectiv</w:t>
            </w:r>
            <w:r w:rsidR="00EA1CBC" w:rsidRPr="004F603C">
              <w:rPr>
                <w:rFonts w:cs="Times New Roman"/>
                <w:sz w:val="24"/>
                <w:szCs w:val="24"/>
              </w:rPr>
              <w:t>elor</w:t>
            </w:r>
            <w:r w:rsidR="008C7E4F" w:rsidRPr="004F603C">
              <w:rPr>
                <w:rFonts w:cs="Times New Roman"/>
                <w:sz w:val="24"/>
                <w:szCs w:val="24"/>
              </w:rPr>
              <w:t xml:space="preserve"> este</w:t>
            </w:r>
            <w:r w:rsidRPr="004F603C">
              <w:rPr>
                <w:rFonts w:cs="Times New Roman"/>
                <w:sz w:val="24"/>
                <w:szCs w:val="24"/>
              </w:rPr>
              <w:t xml:space="preserve"> în derulare, prin inițierea procesului de modificare a Legii nr. 297/2004 și a </w:t>
            </w:r>
            <w:r w:rsidRPr="004F603C">
              <w:rPr>
                <w:rFonts w:cs="Times New Roman"/>
                <w:sz w:val="24"/>
                <w:szCs w:val="24"/>
              </w:rPr>
              <w:lastRenderedPageBreak/>
              <w:t>Regulamentului nr. 1/2006</w:t>
            </w:r>
          </w:p>
          <w:p w:rsidR="008D7836" w:rsidRPr="004F603C" w:rsidRDefault="008D7836" w:rsidP="004F603C">
            <w:pPr>
              <w:jc w:val="both"/>
              <w:rPr>
                <w:rFonts w:cs="Times New Roman"/>
                <w:sz w:val="24"/>
                <w:szCs w:val="24"/>
              </w:rPr>
            </w:pPr>
          </w:p>
          <w:p w:rsidR="008D7836" w:rsidRDefault="008D7836" w:rsidP="00AE50F2">
            <w:pPr>
              <w:rPr>
                <w:rFonts w:cs="Times New Roman"/>
                <w:sz w:val="24"/>
                <w:szCs w:val="24"/>
              </w:rPr>
            </w:pPr>
          </w:p>
          <w:p w:rsidR="00EA1CBC" w:rsidRDefault="00EA1CBC" w:rsidP="00AE50F2">
            <w:pPr>
              <w:rPr>
                <w:rFonts w:cs="Times New Roman"/>
                <w:sz w:val="24"/>
                <w:szCs w:val="24"/>
              </w:rPr>
            </w:pPr>
          </w:p>
          <w:p w:rsidR="00EA1CBC" w:rsidRPr="0041654C" w:rsidRDefault="00EA1CBC" w:rsidP="00E45B0E">
            <w:pPr>
              <w:jc w:val="both"/>
              <w:rPr>
                <w:rFonts w:cs="Times New Roman"/>
                <w:sz w:val="24"/>
                <w:szCs w:val="24"/>
              </w:rPr>
            </w:pPr>
          </w:p>
          <w:p w:rsidR="008D7836" w:rsidRPr="0031437B" w:rsidRDefault="00E45B0E" w:rsidP="00E45B0E">
            <w:pPr>
              <w:jc w:val="both"/>
              <w:rPr>
                <w:rFonts w:cs="Times New Roman"/>
                <w:color w:val="4F81BD" w:themeColor="accent1"/>
                <w:sz w:val="24"/>
                <w:szCs w:val="24"/>
              </w:rPr>
            </w:pPr>
            <w:r>
              <w:rPr>
                <w:sz w:val="24"/>
                <w:szCs w:val="24"/>
              </w:rPr>
              <w:t>Două</w:t>
            </w:r>
            <w:r w:rsidRPr="00374BAC">
              <w:rPr>
                <w:sz w:val="24"/>
                <w:szCs w:val="24"/>
              </w:rPr>
              <w:t xml:space="preserve"> săptămâni de la primirea </w:t>
            </w:r>
            <w:r>
              <w:rPr>
                <w:sz w:val="24"/>
                <w:szCs w:val="24"/>
              </w:rPr>
              <w:t>clarificărilor /completărilor solicitate Depozitarului Central.</w:t>
            </w:r>
          </w:p>
          <w:p w:rsidR="008D7836" w:rsidRDefault="008D7836" w:rsidP="00FC380D">
            <w:pPr>
              <w:rPr>
                <w:rFonts w:cs="Times New Roman"/>
                <w:sz w:val="24"/>
                <w:szCs w:val="24"/>
              </w:rPr>
            </w:pPr>
          </w:p>
          <w:p w:rsidR="0003400D" w:rsidRDefault="0003400D" w:rsidP="00FC380D">
            <w:pPr>
              <w:rPr>
                <w:rFonts w:cs="Times New Roman"/>
                <w:sz w:val="24"/>
                <w:szCs w:val="24"/>
              </w:rPr>
            </w:pPr>
          </w:p>
          <w:p w:rsidR="00AD422E" w:rsidRDefault="00AD422E" w:rsidP="00FC380D">
            <w:pPr>
              <w:rPr>
                <w:rFonts w:cs="Times New Roman"/>
                <w:sz w:val="24"/>
                <w:szCs w:val="24"/>
              </w:rPr>
            </w:pPr>
          </w:p>
          <w:p w:rsidR="00E45B0E" w:rsidRPr="0041654C" w:rsidRDefault="00E45B0E" w:rsidP="00FC380D">
            <w:pPr>
              <w:rPr>
                <w:rFonts w:cs="Times New Roman"/>
                <w:sz w:val="24"/>
                <w:szCs w:val="24"/>
              </w:rPr>
            </w:pPr>
          </w:p>
          <w:p w:rsidR="008D7836" w:rsidRPr="0031437B" w:rsidRDefault="008D7836" w:rsidP="00811A0E">
            <w:pPr>
              <w:jc w:val="center"/>
              <w:rPr>
                <w:rFonts w:cs="Times New Roman"/>
                <w:strike/>
                <w:sz w:val="24"/>
                <w:szCs w:val="24"/>
              </w:rPr>
            </w:pPr>
            <w:r w:rsidRPr="0031437B">
              <w:rPr>
                <w:sz w:val="24"/>
                <w:szCs w:val="24"/>
              </w:rPr>
              <w:t xml:space="preserve"> Trimestrul I 2015 </w:t>
            </w:r>
          </w:p>
        </w:tc>
      </w:tr>
      <w:tr w:rsidR="008D7836" w:rsidRPr="0041654C" w:rsidTr="00B44F64">
        <w:tc>
          <w:tcPr>
            <w:tcW w:w="706" w:type="dxa"/>
          </w:tcPr>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r w:rsidRPr="0041654C">
              <w:rPr>
                <w:rFonts w:cs="Times New Roman"/>
                <w:b/>
              </w:rPr>
              <w:t>2</w:t>
            </w:r>
          </w:p>
        </w:tc>
        <w:tc>
          <w:tcPr>
            <w:tcW w:w="4244" w:type="dxa"/>
          </w:tcPr>
          <w:p w:rsidR="008D7836" w:rsidRPr="0041654C" w:rsidRDefault="008D7836" w:rsidP="0027599D">
            <w:pPr>
              <w:jc w:val="both"/>
              <w:rPr>
                <w:rFonts w:cs="Times New Roman"/>
                <w:b/>
                <w:sz w:val="24"/>
                <w:szCs w:val="24"/>
              </w:rPr>
            </w:pPr>
          </w:p>
          <w:p w:rsidR="008D7836" w:rsidRPr="0041654C" w:rsidRDefault="008D7836" w:rsidP="0027599D">
            <w:pPr>
              <w:jc w:val="both"/>
              <w:rPr>
                <w:rFonts w:cs="Times New Roman"/>
                <w:b/>
                <w:sz w:val="24"/>
                <w:szCs w:val="24"/>
              </w:rPr>
            </w:pPr>
          </w:p>
          <w:p w:rsidR="008D7836" w:rsidRPr="0041654C" w:rsidRDefault="008D7836" w:rsidP="0027599D">
            <w:pPr>
              <w:jc w:val="both"/>
              <w:rPr>
                <w:rFonts w:cs="Times New Roman"/>
                <w:b/>
                <w:sz w:val="24"/>
                <w:szCs w:val="24"/>
              </w:rPr>
            </w:pPr>
          </w:p>
          <w:p w:rsidR="008D7836" w:rsidRPr="0041654C" w:rsidRDefault="008D7836" w:rsidP="0027599D">
            <w:pPr>
              <w:jc w:val="both"/>
              <w:rPr>
                <w:rFonts w:cs="Times New Roman"/>
                <w:b/>
                <w:sz w:val="24"/>
                <w:szCs w:val="24"/>
              </w:rPr>
            </w:pPr>
          </w:p>
          <w:p w:rsidR="008D7836" w:rsidRPr="0041654C" w:rsidRDefault="008D7836" w:rsidP="0027599D">
            <w:pPr>
              <w:jc w:val="both"/>
              <w:rPr>
                <w:rFonts w:cs="Times New Roman"/>
                <w:b/>
                <w:sz w:val="24"/>
                <w:szCs w:val="24"/>
              </w:rPr>
            </w:pPr>
          </w:p>
          <w:p w:rsidR="008D7836" w:rsidRPr="0041654C" w:rsidRDefault="008D7836" w:rsidP="0027599D">
            <w:pPr>
              <w:jc w:val="both"/>
              <w:rPr>
                <w:rFonts w:cs="Times New Roman"/>
                <w:b/>
                <w:sz w:val="24"/>
                <w:szCs w:val="24"/>
              </w:rPr>
            </w:pPr>
            <w:r w:rsidRPr="0041654C">
              <w:rPr>
                <w:rFonts w:cs="Times New Roman"/>
                <w:b/>
                <w:sz w:val="24"/>
                <w:szCs w:val="24"/>
              </w:rPr>
              <w:t>Eficientizarea și fluidizarea operațiunilor de împrumut de instrumente financiare si a tranzacțiilor de vânzare în lipsă.</w:t>
            </w:r>
          </w:p>
          <w:p w:rsidR="008D7836" w:rsidRPr="0041654C" w:rsidRDefault="008D7836">
            <w:pPr>
              <w:rPr>
                <w:rFonts w:cs="Times New Roman"/>
              </w:rPr>
            </w:pPr>
          </w:p>
        </w:tc>
        <w:tc>
          <w:tcPr>
            <w:tcW w:w="7380" w:type="dxa"/>
          </w:tcPr>
          <w:p w:rsidR="008D7836" w:rsidRPr="0041654C" w:rsidRDefault="008D7836" w:rsidP="006A354D">
            <w:pPr>
              <w:pStyle w:val="Listparagraf"/>
              <w:ind w:left="34"/>
              <w:jc w:val="both"/>
              <w:rPr>
                <w:rFonts w:cs="Times New Roman"/>
                <w:sz w:val="24"/>
                <w:szCs w:val="24"/>
              </w:rPr>
            </w:pPr>
          </w:p>
          <w:p w:rsidR="008D7836" w:rsidRPr="0041654C" w:rsidRDefault="008D7836" w:rsidP="0027599D">
            <w:pPr>
              <w:pStyle w:val="Listparagraf"/>
              <w:numPr>
                <w:ilvl w:val="0"/>
                <w:numId w:val="13"/>
              </w:numPr>
              <w:ind w:left="34" w:hanging="34"/>
              <w:jc w:val="both"/>
              <w:rPr>
                <w:rFonts w:cs="Times New Roman"/>
                <w:sz w:val="24"/>
                <w:szCs w:val="24"/>
              </w:rPr>
            </w:pPr>
            <w:r w:rsidRPr="0041654C">
              <w:rPr>
                <w:rFonts w:cs="Times New Roman"/>
                <w:sz w:val="24"/>
                <w:szCs w:val="24"/>
              </w:rPr>
              <w:t>Modificarea Regulamentului CNVM nr.32/2006 si a Regulamentului CNVM nr.5/2010 inclusiv pentru alinierea la Regulamentul (UE) nr.236/2012 privind vânzarea în lipsă și anumite aspecte ale swapurilor pe riscul de credit si la reglementările europene emise in aplicarea ac</w:t>
            </w:r>
            <w:r w:rsidR="004746DE">
              <w:rPr>
                <w:rFonts w:cs="Times New Roman"/>
                <w:sz w:val="24"/>
                <w:szCs w:val="24"/>
              </w:rPr>
              <w:t>estuia</w:t>
            </w:r>
          </w:p>
          <w:p w:rsidR="008D7836" w:rsidRPr="0041654C" w:rsidRDefault="008D7836" w:rsidP="006A354D">
            <w:pPr>
              <w:pStyle w:val="Listparagraf"/>
              <w:ind w:left="34"/>
              <w:jc w:val="both"/>
              <w:rPr>
                <w:rFonts w:cs="Times New Roman"/>
                <w:sz w:val="24"/>
                <w:szCs w:val="24"/>
              </w:rPr>
            </w:pPr>
          </w:p>
          <w:p w:rsidR="008D7836" w:rsidRPr="0041654C" w:rsidRDefault="008D7836" w:rsidP="0027599D">
            <w:pPr>
              <w:pStyle w:val="Listparagraf"/>
              <w:numPr>
                <w:ilvl w:val="0"/>
                <w:numId w:val="12"/>
              </w:numPr>
              <w:suppressAutoHyphens/>
              <w:ind w:left="34" w:hanging="34"/>
              <w:jc w:val="both"/>
              <w:rPr>
                <w:rFonts w:cs="Times New Roman"/>
                <w:sz w:val="24"/>
                <w:szCs w:val="24"/>
              </w:rPr>
            </w:pPr>
            <w:r w:rsidRPr="0041654C">
              <w:rPr>
                <w:rFonts w:cs="Times New Roman"/>
                <w:sz w:val="24"/>
                <w:szCs w:val="24"/>
              </w:rPr>
              <w:t>Clarificarea aspectelor legate de impozitarea operațiunilor de împrumut de instrumente financiare și a tr</w:t>
            </w:r>
            <w:r w:rsidR="004746DE">
              <w:rPr>
                <w:rFonts w:cs="Times New Roman"/>
                <w:sz w:val="24"/>
                <w:szCs w:val="24"/>
              </w:rPr>
              <w:t>anzacțiilor de vânzare în lipsă</w:t>
            </w:r>
          </w:p>
          <w:p w:rsidR="008D7836" w:rsidRPr="0041654C" w:rsidRDefault="008D7836" w:rsidP="009866A2">
            <w:pPr>
              <w:pStyle w:val="Listparagraf"/>
              <w:suppressAutoHyphens/>
              <w:ind w:left="34"/>
              <w:jc w:val="both"/>
              <w:rPr>
                <w:rFonts w:cs="Times New Roman"/>
                <w:sz w:val="24"/>
                <w:szCs w:val="24"/>
              </w:rPr>
            </w:pPr>
          </w:p>
          <w:p w:rsidR="008D7836" w:rsidRPr="009C523E" w:rsidRDefault="008D7836" w:rsidP="009C523E">
            <w:pPr>
              <w:pStyle w:val="Listparagraf"/>
              <w:numPr>
                <w:ilvl w:val="0"/>
                <w:numId w:val="12"/>
              </w:numPr>
              <w:suppressAutoHyphens/>
              <w:ind w:left="34" w:hanging="34"/>
              <w:jc w:val="both"/>
              <w:rPr>
                <w:rFonts w:cs="Times New Roman"/>
                <w:sz w:val="24"/>
                <w:szCs w:val="24"/>
              </w:rPr>
            </w:pPr>
            <w:r w:rsidRPr="0041654C">
              <w:rPr>
                <w:rFonts w:cs="Times New Roman"/>
                <w:sz w:val="24"/>
                <w:szCs w:val="24"/>
              </w:rPr>
              <w:t>Clarificarea regimului juridic al garanțiilor utilizate în operațiunile de împrumut de instrumente financiar</w:t>
            </w:r>
            <w:r w:rsidR="004746DE">
              <w:rPr>
                <w:rFonts w:cs="Times New Roman"/>
                <w:sz w:val="24"/>
                <w:szCs w:val="24"/>
              </w:rPr>
              <w:t>e</w:t>
            </w:r>
          </w:p>
        </w:tc>
        <w:tc>
          <w:tcPr>
            <w:tcW w:w="3150" w:type="dxa"/>
          </w:tcPr>
          <w:p w:rsidR="008D7836" w:rsidRPr="0041654C" w:rsidRDefault="008D7836">
            <w:pPr>
              <w:rPr>
                <w:rFonts w:cs="Times New Roman"/>
              </w:rPr>
            </w:pPr>
            <w:r w:rsidRPr="0041654C">
              <w:rPr>
                <w:rFonts w:cs="Times New Roman"/>
              </w:rPr>
              <w:t xml:space="preserve">  </w:t>
            </w:r>
          </w:p>
          <w:p w:rsidR="008D7836" w:rsidRPr="0041654C" w:rsidRDefault="008D7836">
            <w:pPr>
              <w:rPr>
                <w:rFonts w:cs="Times New Roman"/>
              </w:rPr>
            </w:pPr>
          </w:p>
          <w:p w:rsidR="008D7836" w:rsidRPr="0003400D" w:rsidRDefault="008D7836" w:rsidP="008C7E4F">
            <w:pPr>
              <w:jc w:val="center"/>
              <w:rPr>
                <w:rFonts w:cs="Times New Roman"/>
                <w:sz w:val="24"/>
                <w:szCs w:val="24"/>
              </w:rPr>
            </w:pPr>
            <w:r w:rsidRPr="0003400D">
              <w:rPr>
                <w:rFonts w:cs="Times New Roman"/>
                <w:sz w:val="24"/>
                <w:szCs w:val="24"/>
              </w:rPr>
              <w:t>Noiembrie 2014</w:t>
            </w:r>
          </w:p>
          <w:p w:rsidR="008D7836" w:rsidRPr="0003400D" w:rsidRDefault="008D7836" w:rsidP="008C7E4F">
            <w:pPr>
              <w:jc w:val="center"/>
              <w:rPr>
                <w:rFonts w:cs="Times New Roman"/>
                <w:sz w:val="24"/>
                <w:szCs w:val="24"/>
              </w:rPr>
            </w:pPr>
          </w:p>
          <w:p w:rsidR="008D7836" w:rsidRPr="0003400D" w:rsidRDefault="008D7836" w:rsidP="008C7E4F">
            <w:pPr>
              <w:jc w:val="center"/>
              <w:rPr>
                <w:rFonts w:cs="Times New Roman"/>
                <w:sz w:val="24"/>
                <w:szCs w:val="24"/>
              </w:rPr>
            </w:pPr>
          </w:p>
          <w:p w:rsidR="008D7836" w:rsidRPr="0003400D" w:rsidRDefault="008D7836" w:rsidP="008C7E4F">
            <w:pPr>
              <w:jc w:val="center"/>
              <w:rPr>
                <w:rFonts w:cs="Times New Roman"/>
                <w:sz w:val="24"/>
                <w:szCs w:val="24"/>
              </w:rPr>
            </w:pPr>
          </w:p>
          <w:p w:rsidR="008D7836" w:rsidRDefault="008D7836" w:rsidP="008C7E4F">
            <w:pPr>
              <w:jc w:val="center"/>
              <w:rPr>
                <w:rFonts w:cs="Times New Roman"/>
                <w:sz w:val="24"/>
                <w:szCs w:val="24"/>
              </w:rPr>
            </w:pPr>
          </w:p>
          <w:p w:rsidR="00AD422E" w:rsidRPr="0003400D" w:rsidRDefault="00AD422E" w:rsidP="008C7E4F">
            <w:pPr>
              <w:jc w:val="center"/>
              <w:rPr>
                <w:rFonts w:cs="Times New Roman"/>
                <w:sz w:val="24"/>
                <w:szCs w:val="24"/>
              </w:rPr>
            </w:pPr>
          </w:p>
          <w:p w:rsidR="008D7836" w:rsidRPr="0003400D" w:rsidRDefault="008D7836" w:rsidP="008C7E4F">
            <w:pPr>
              <w:jc w:val="center"/>
              <w:rPr>
                <w:rFonts w:cs="Times New Roman"/>
                <w:sz w:val="24"/>
                <w:szCs w:val="24"/>
              </w:rPr>
            </w:pPr>
            <w:r w:rsidRPr="0003400D">
              <w:rPr>
                <w:rFonts w:cs="Times New Roman"/>
                <w:sz w:val="24"/>
                <w:szCs w:val="24"/>
              </w:rPr>
              <w:t>Decembrie 2014</w:t>
            </w:r>
          </w:p>
          <w:p w:rsidR="008D7836" w:rsidRPr="0003400D" w:rsidRDefault="008D7836" w:rsidP="008C7E4F">
            <w:pPr>
              <w:jc w:val="center"/>
              <w:rPr>
                <w:rFonts w:cs="Times New Roman"/>
                <w:sz w:val="24"/>
                <w:szCs w:val="24"/>
              </w:rPr>
            </w:pPr>
          </w:p>
          <w:p w:rsidR="008D7836" w:rsidRPr="0003400D" w:rsidRDefault="008D7836" w:rsidP="008C7E4F">
            <w:pPr>
              <w:jc w:val="center"/>
              <w:rPr>
                <w:rFonts w:cs="Times New Roman"/>
                <w:sz w:val="24"/>
                <w:szCs w:val="24"/>
              </w:rPr>
            </w:pPr>
          </w:p>
          <w:p w:rsidR="008D7836" w:rsidRPr="0041654C" w:rsidRDefault="008D7836" w:rsidP="008C7E4F">
            <w:pPr>
              <w:jc w:val="center"/>
              <w:rPr>
                <w:rFonts w:cs="Times New Roman"/>
              </w:rPr>
            </w:pPr>
            <w:r w:rsidRPr="0003400D">
              <w:rPr>
                <w:rFonts w:cs="Times New Roman"/>
                <w:sz w:val="24"/>
                <w:szCs w:val="24"/>
              </w:rPr>
              <w:t>Semestrul I 2015</w:t>
            </w:r>
          </w:p>
        </w:tc>
      </w:tr>
      <w:tr w:rsidR="008D7836" w:rsidRPr="0041654C" w:rsidTr="00B44F64">
        <w:tc>
          <w:tcPr>
            <w:tcW w:w="706" w:type="dxa"/>
          </w:tcPr>
          <w:p w:rsidR="008D7836" w:rsidRPr="0041654C" w:rsidRDefault="008D7836" w:rsidP="0003400D">
            <w:pP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r w:rsidRPr="0041654C">
              <w:rPr>
                <w:rFonts w:cs="Times New Roman"/>
                <w:b/>
              </w:rPr>
              <w:t>3</w:t>
            </w:r>
          </w:p>
        </w:tc>
        <w:tc>
          <w:tcPr>
            <w:tcW w:w="4244" w:type="dxa"/>
          </w:tcPr>
          <w:p w:rsidR="008D7836" w:rsidRPr="0041654C" w:rsidRDefault="008D7836" w:rsidP="00183159">
            <w:pPr>
              <w:rPr>
                <w:rFonts w:cs="Times New Roman"/>
                <w:b/>
                <w:sz w:val="24"/>
                <w:szCs w:val="24"/>
              </w:rPr>
            </w:pPr>
          </w:p>
          <w:p w:rsidR="008D7836" w:rsidRPr="0041654C" w:rsidRDefault="008D7836" w:rsidP="00183159">
            <w:pPr>
              <w:rPr>
                <w:rFonts w:cs="Times New Roman"/>
                <w:b/>
                <w:sz w:val="24"/>
                <w:szCs w:val="24"/>
              </w:rPr>
            </w:pPr>
          </w:p>
          <w:p w:rsidR="008D7836" w:rsidRPr="0041654C" w:rsidRDefault="008D7836" w:rsidP="00755D5D">
            <w:pPr>
              <w:jc w:val="both"/>
              <w:rPr>
                <w:rFonts w:cs="Times New Roman"/>
              </w:rPr>
            </w:pPr>
            <w:r w:rsidRPr="0041654C">
              <w:rPr>
                <w:rFonts w:cs="Times New Roman"/>
                <w:b/>
                <w:sz w:val="24"/>
                <w:szCs w:val="24"/>
              </w:rPr>
              <w:t xml:space="preserve">Dezvoltarea pieței locale primare și secundare de obligațiuni (municipale și corporative) </w:t>
            </w:r>
          </w:p>
        </w:tc>
        <w:tc>
          <w:tcPr>
            <w:tcW w:w="7380" w:type="dxa"/>
          </w:tcPr>
          <w:p w:rsidR="0003400D" w:rsidRPr="0003400D" w:rsidRDefault="0003400D" w:rsidP="0003400D">
            <w:pPr>
              <w:jc w:val="both"/>
              <w:rPr>
                <w:rFonts w:cs="Times New Roman"/>
                <w:sz w:val="24"/>
                <w:szCs w:val="24"/>
              </w:rPr>
            </w:pPr>
          </w:p>
          <w:p w:rsidR="0003400D" w:rsidRPr="0041654C" w:rsidRDefault="0003400D" w:rsidP="006A354D">
            <w:pPr>
              <w:pStyle w:val="Listparagraf"/>
              <w:ind w:left="64"/>
              <w:jc w:val="both"/>
              <w:rPr>
                <w:rFonts w:cs="Times New Roman"/>
                <w:sz w:val="24"/>
                <w:szCs w:val="24"/>
              </w:rPr>
            </w:pPr>
          </w:p>
          <w:p w:rsidR="0003400D" w:rsidRPr="0003400D" w:rsidRDefault="008D7836" w:rsidP="0003400D">
            <w:pPr>
              <w:pStyle w:val="Listparagraf"/>
              <w:numPr>
                <w:ilvl w:val="0"/>
                <w:numId w:val="11"/>
              </w:numPr>
              <w:ind w:left="64" w:firstLine="0"/>
              <w:jc w:val="both"/>
              <w:rPr>
                <w:rFonts w:cs="Times New Roman"/>
                <w:sz w:val="24"/>
                <w:szCs w:val="24"/>
              </w:rPr>
            </w:pPr>
            <w:r w:rsidRPr="0041654C">
              <w:rPr>
                <w:rFonts w:cs="Times New Roman"/>
                <w:sz w:val="24"/>
                <w:szCs w:val="24"/>
              </w:rPr>
              <w:t>Reducerea comisioanelor aplicate de ASF operațiunilor cu obligațiuni municipale și corporative prin modif</w:t>
            </w:r>
            <w:r w:rsidR="004746DE">
              <w:rPr>
                <w:rFonts w:cs="Times New Roman"/>
                <w:sz w:val="24"/>
                <w:szCs w:val="24"/>
              </w:rPr>
              <w:t>icarea Regulamentului nr.7/2006</w:t>
            </w:r>
          </w:p>
          <w:p w:rsidR="008D7836" w:rsidRPr="0041654C" w:rsidRDefault="008D7836" w:rsidP="0027599D">
            <w:pPr>
              <w:jc w:val="both"/>
              <w:rPr>
                <w:rFonts w:cs="Times New Roman"/>
                <w:sz w:val="24"/>
                <w:szCs w:val="24"/>
              </w:rPr>
            </w:pPr>
          </w:p>
          <w:p w:rsidR="008D7836" w:rsidRPr="0003400D" w:rsidRDefault="008D7836" w:rsidP="0003400D">
            <w:pPr>
              <w:pStyle w:val="Listparagraf"/>
              <w:numPr>
                <w:ilvl w:val="0"/>
                <w:numId w:val="11"/>
              </w:numPr>
              <w:ind w:left="64" w:firstLine="0"/>
              <w:jc w:val="both"/>
              <w:rPr>
                <w:rFonts w:cs="Times New Roman"/>
                <w:sz w:val="24"/>
                <w:szCs w:val="24"/>
              </w:rPr>
            </w:pPr>
            <w:r w:rsidRPr="0041654C">
              <w:rPr>
                <w:rFonts w:cs="Times New Roman"/>
                <w:sz w:val="24"/>
                <w:szCs w:val="24"/>
              </w:rPr>
              <w:t>Organizarea de evenimente  în diverse parteneriate (cu operatorii de piață, Asociația Oamenilor de Afaceri din România, Consiliul Investitorilor Străini etc) pentru popularizarea</w:t>
            </w:r>
            <w:r w:rsidRPr="0003400D">
              <w:rPr>
                <w:rFonts w:cs="Times New Roman"/>
                <w:sz w:val="24"/>
                <w:szCs w:val="24"/>
              </w:rPr>
              <w:t xml:space="preserve"> variantei de finanțare prin emisi</w:t>
            </w:r>
            <w:r w:rsidR="004746DE">
              <w:rPr>
                <w:rFonts w:cs="Times New Roman"/>
                <w:sz w:val="24"/>
                <w:szCs w:val="24"/>
              </w:rPr>
              <w:t>unea de obligațiuni corporative</w:t>
            </w:r>
          </w:p>
          <w:p w:rsidR="008D7836" w:rsidRPr="0041654C" w:rsidRDefault="008D7836" w:rsidP="00EB3778">
            <w:pPr>
              <w:pStyle w:val="Listparagraf"/>
              <w:rPr>
                <w:rFonts w:cs="Times New Roman"/>
                <w:sz w:val="24"/>
                <w:szCs w:val="24"/>
              </w:rPr>
            </w:pPr>
          </w:p>
          <w:p w:rsidR="008D7836" w:rsidRPr="0041654C" w:rsidRDefault="008D7836" w:rsidP="00EB3778">
            <w:pPr>
              <w:pStyle w:val="Listparagraf"/>
              <w:ind w:left="64"/>
              <w:jc w:val="both"/>
              <w:rPr>
                <w:rFonts w:cs="Times New Roman"/>
                <w:sz w:val="24"/>
                <w:szCs w:val="24"/>
              </w:rPr>
            </w:pPr>
          </w:p>
          <w:p w:rsidR="008D7836" w:rsidRPr="0041654C" w:rsidRDefault="008D7836" w:rsidP="0027599D">
            <w:pPr>
              <w:pStyle w:val="Listparagraf"/>
              <w:numPr>
                <w:ilvl w:val="0"/>
                <w:numId w:val="11"/>
              </w:numPr>
              <w:ind w:left="64" w:firstLine="0"/>
              <w:jc w:val="both"/>
              <w:rPr>
                <w:rFonts w:cs="Times New Roman"/>
                <w:sz w:val="24"/>
                <w:szCs w:val="24"/>
              </w:rPr>
            </w:pPr>
            <w:r w:rsidRPr="0041654C">
              <w:rPr>
                <w:rFonts w:cs="Times New Roman"/>
                <w:sz w:val="24"/>
                <w:szCs w:val="24"/>
              </w:rPr>
              <w:t>Organizarea de reuniuni între  reprezentanții ASF și ai operatorilor de piață cu oficialități reprezentând principalele municipalități naționale</w:t>
            </w:r>
            <w:r w:rsidR="00C82A64">
              <w:rPr>
                <w:rFonts w:cs="Times New Roman"/>
                <w:sz w:val="24"/>
                <w:szCs w:val="24"/>
              </w:rPr>
              <w:t xml:space="preserve"> </w:t>
            </w:r>
            <w:r w:rsidRPr="0041654C">
              <w:rPr>
                <w:rFonts w:cs="Times New Roman"/>
                <w:sz w:val="24"/>
                <w:szCs w:val="24"/>
              </w:rPr>
              <w:t>având în centrul discuțiilor varianta finanțării prin intermediul pieței de capital și  identificarea soluțiilor optime pentru structurar</w:t>
            </w:r>
            <w:r w:rsidR="004746DE">
              <w:rPr>
                <w:rFonts w:cs="Times New Roman"/>
                <w:sz w:val="24"/>
                <w:szCs w:val="24"/>
              </w:rPr>
              <w:t>ea unor împrumuturi obligatare</w:t>
            </w:r>
          </w:p>
          <w:p w:rsidR="008D7836" w:rsidRPr="0041654C" w:rsidRDefault="008D7836" w:rsidP="00755D5D">
            <w:pPr>
              <w:jc w:val="both"/>
              <w:rPr>
                <w:rFonts w:cs="Times New Roman"/>
                <w:sz w:val="24"/>
                <w:szCs w:val="24"/>
              </w:rPr>
            </w:pPr>
          </w:p>
          <w:p w:rsidR="008D7836" w:rsidRPr="0058384F" w:rsidRDefault="008D7836" w:rsidP="0058384F">
            <w:pPr>
              <w:jc w:val="both"/>
              <w:rPr>
                <w:rFonts w:cs="Times New Roman"/>
                <w:sz w:val="24"/>
                <w:szCs w:val="24"/>
              </w:rPr>
            </w:pPr>
          </w:p>
          <w:p w:rsidR="008D7836" w:rsidRPr="0041654C" w:rsidRDefault="008D7836" w:rsidP="0027599D">
            <w:pPr>
              <w:pStyle w:val="Listparagraf"/>
              <w:numPr>
                <w:ilvl w:val="0"/>
                <w:numId w:val="11"/>
              </w:numPr>
              <w:ind w:left="64" w:firstLine="0"/>
              <w:jc w:val="both"/>
              <w:rPr>
                <w:rFonts w:cs="Times New Roman"/>
                <w:sz w:val="24"/>
                <w:szCs w:val="24"/>
              </w:rPr>
            </w:pPr>
            <w:r w:rsidRPr="0041654C">
              <w:rPr>
                <w:rFonts w:eastAsia="Times New Roman" w:cs="Times New Roman"/>
                <w:sz w:val="24"/>
                <w:szCs w:val="24"/>
              </w:rPr>
              <w:t>Analiza</w:t>
            </w:r>
            <w:r w:rsidRPr="0041654C">
              <w:rPr>
                <w:rFonts w:cs="Times New Roman"/>
                <w:sz w:val="24"/>
                <w:szCs w:val="24"/>
              </w:rPr>
              <w:t>rea</w:t>
            </w:r>
            <w:r w:rsidRPr="0041654C">
              <w:rPr>
                <w:rFonts w:eastAsia="Times New Roman" w:cs="Times New Roman"/>
                <w:sz w:val="24"/>
                <w:szCs w:val="24"/>
              </w:rPr>
              <w:t xml:space="preserve"> oportunit</w:t>
            </w:r>
            <w:r w:rsidRPr="0041654C">
              <w:rPr>
                <w:rFonts w:cs="Times New Roman"/>
                <w:sz w:val="24"/>
                <w:szCs w:val="24"/>
              </w:rPr>
              <w:t>ății și a implicațiilor</w:t>
            </w:r>
            <w:r w:rsidRPr="0041654C">
              <w:rPr>
                <w:rFonts w:eastAsia="Times New Roman" w:cs="Times New Roman"/>
                <w:sz w:val="24"/>
                <w:szCs w:val="24"/>
              </w:rPr>
              <w:t xml:space="preserve"> introducerii obligativității ratingului obligaţiunilor municipale listate </w:t>
            </w:r>
            <w:r w:rsidRPr="0041654C">
              <w:rPr>
                <w:rFonts w:cs="Times New Roman"/>
                <w:sz w:val="24"/>
                <w:szCs w:val="24"/>
              </w:rPr>
              <w:t>pe piața reglementată</w:t>
            </w:r>
            <w:r w:rsidRPr="0041654C">
              <w:rPr>
                <w:rFonts w:eastAsia="Times New Roman" w:cs="Times New Roman"/>
                <w:sz w:val="24"/>
                <w:szCs w:val="24"/>
              </w:rPr>
              <w:t>, pentru a oferi garanţii suplimentare investitorilor nerezidenţi privind solvabilitatea ofertantului (primării/municipalităţi) şi a le permite să realiz</w:t>
            </w:r>
            <w:r w:rsidR="004746DE">
              <w:rPr>
                <w:rFonts w:eastAsia="Times New Roman" w:cs="Times New Roman"/>
                <w:sz w:val="24"/>
                <w:szCs w:val="24"/>
              </w:rPr>
              <w:t xml:space="preserve">eze plasamente pe piaţa </w:t>
            </w:r>
            <w:r w:rsidR="00E45B0E">
              <w:rPr>
                <w:rFonts w:eastAsia="Times New Roman" w:cs="Times New Roman"/>
                <w:sz w:val="24"/>
                <w:szCs w:val="24"/>
              </w:rPr>
              <w:t>românească de capital</w:t>
            </w:r>
          </w:p>
          <w:p w:rsidR="008D7836" w:rsidRPr="0041654C" w:rsidRDefault="008D7836" w:rsidP="0027599D">
            <w:pPr>
              <w:rPr>
                <w:rFonts w:cs="Times New Roman"/>
              </w:rPr>
            </w:pPr>
          </w:p>
          <w:p w:rsidR="008D7836" w:rsidRPr="0041654C" w:rsidRDefault="008D7836" w:rsidP="0027599D">
            <w:pPr>
              <w:rPr>
                <w:rFonts w:cs="Times New Roman"/>
              </w:rPr>
            </w:pPr>
          </w:p>
          <w:p w:rsidR="008D7836" w:rsidRPr="00CC5103" w:rsidRDefault="008D7836" w:rsidP="002D4FFD">
            <w:pPr>
              <w:pStyle w:val="Listparagraf"/>
              <w:numPr>
                <w:ilvl w:val="0"/>
                <w:numId w:val="11"/>
              </w:numPr>
              <w:ind w:left="64" w:firstLine="77"/>
              <w:jc w:val="both"/>
              <w:rPr>
                <w:rFonts w:cs="Times New Roman"/>
                <w:sz w:val="24"/>
                <w:szCs w:val="24"/>
              </w:rPr>
            </w:pPr>
            <w:r w:rsidRPr="0041654C">
              <w:rPr>
                <w:rFonts w:cs="Times New Roman"/>
                <w:sz w:val="24"/>
                <w:szCs w:val="24"/>
              </w:rPr>
              <w:t>Inițierea de discuții cu MFP în vederea analizării posibilității introducerii unei scutiri de impozit pentru fondurile de investiții autorizate de ASF (n.n. deci doar pentru fondurile locale), care investesc prepon</w:t>
            </w:r>
            <w:r w:rsidR="004746DE">
              <w:rPr>
                <w:rFonts w:cs="Times New Roman"/>
                <w:sz w:val="24"/>
                <w:szCs w:val="24"/>
              </w:rPr>
              <w:t>derent în obligațiuni de stat</w:t>
            </w:r>
          </w:p>
        </w:tc>
        <w:tc>
          <w:tcPr>
            <w:tcW w:w="3150" w:type="dxa"/>
          </w:tcPr>
          <w:p w:rsidR="008D7836" w:rsidRPr="0041654C" w:rsidRDefault="008D7836">
            <w:pPr>
              <w:rPr>
                <w:rFonts w:cs="Times New Roman"/>
              </w:rPr>
            </w:pPr>
          </w:p>
          <w:p w:rsidR="0003400D" w:rsidRDefault="0003400D">
            <w:pPr>
              <w:rPr>
                <w:rFonts w:cs="Times New Roman"/>
              </w:rPr>
            </w:pPr>
            <w:r>
              <w:rPr>
                <w:rFonts w:cs="Times New Roman"/>
              </w:rPr>
              <w:t xml:space="preserve">               </w:t>
            </w:r>
          </w:p>
          <w:p w:rsidR="0003400D" w:rsidRPr="0041654C" w:rsidRDefault="0003400D">
            <w:pPr>
              <w:rPr>
                <w:rFonts w:cs="Times New Roman"/>
              </w:rPr>
            </w:pPr>
          </w:p>
          <w:p w:rsidR="008D7836" w:rsidRPr="0003400D" w:rsidRDefault="008D7836" w:rsidP="008C7E4F">
            <w:pPr>
              <w:jc w:val="center"/>
              <w:rPr>
                <w:rFonts w:cs="Times New Roman"/>
                <w:sz w:val="24"/>
                <w:szCs w:val="24"/>
              </w:rPr>
            </w:pPr>
            <w:r w:rsidRPr="0003400D">
              <w:rPr>
                <w:rFonts w:cs="Times New Roman"/>
                <w:sz w:val="24"/>
                <w:szCs w:val="24"/>
              </w:rPr>
              <w:t>August 2014</w:t>
            </w:r>
          </w:p>
          <w:p w:rsidR="0058384F" w:rsidRDefault="0058384F" w:rsidP="0003400D">
            <w:pPr>
              <w:rPr>
                <w:rFonts w:cs="Times New Roman"/>
              </w:rPr>
            </w:pPr>
          </w:p>
          <w:p w:rsidR="0058384F" w:rsidRDefault="0058384F" w:rsidP="0003400D">
            <w:pPr>
              <w:rPr>
                <w:rFonts w:cs="Times New Roman"/>
              </w:rPr>
            </w:pPr>
          </w:p>
          <w:p w:rsidR="00CC5103" w:rsidRDefault="00CC5103" w:rsidP="0003400D">
            <w:pPr>
              <w:rPr>
                <w:rFonts w:cs="Times New Roman"/>
              </w:rPr>
            </w:pPr>
          </w:p>
          <w:p w:rsidR="0058384F" w:rsidRDefault="0058384F" w:rsidP="0003400D">
            <w:pPr>
              <w:rPr>
                <w:rFonts w:cs="Times New Roman"/>
              </w:rPr>
            </w:pPr>
          </w:p>
          <w:p w:rsidR="008D7836" w:rsidRPr="0058384F" w:rsidRDefault="008D7836" w:rsidP="008C7E4F">
            <w:pPr>
              <w:jc w:val="center"/>
              <w:rPr>
                <w:rFonts w:cs="Times New Roman"/>
                <w:sz w:val="24"/>
                <w:szCs w:val="24"/>
              </w:rPr>
            </w:pPr>
            <w:r w:rsidRPr="0058384F">
              <w:rPr>
                <w:rFonts w:cs="Times New Roman"/>
                <w:sz w:val="24"/>
                <w:szCs w:val="24"/>
              </w:rPr>
              <w:t>Semestrul I 2015</w:t>
            </w: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Default="008D7836" w:rsidP="008C7E4F">
            <w:pPr>
              <w:jc w:val="center"/>
              <w:rPr>
                <w:rFonts w:cs="Times New Roman"/>
              </w:rPr>
            </w:pPr>
          </w:p>
          <w:p w:rsidR="008D7836" w:rsidRDefault="008D7836" w:rsidP="008C7E4F">
            <w:pPr>
              <w:jc w:val="center"/>
              <w:rPr>
                <w:rFonts w:cs="Times New Roman"/>
              </w:rPr>
            </w:pPr>
          </w:p>
          <w:p w:rsidR="008D7836" w:rsidRPr="0041654C" w:rsidRDefault="008D7836" w:rsidP="008C7E4F">
            <w:pPr>
              <w:jc w:val="center"/>
              <w:rPr>
                <w:rFonts w:cs="Times New Roman"/>
              </w:rPr>
            </w:pPr>
          </w:p>
          <w:p w:rsidR="008D7836" w:rsidRPr="0058384F" w:rsidRDefault="008D7836" w:rsidP="008C7E4F">
            <w:pPr>
              <w:jc w:val="center"/>
              <w:rPr>
                <w:rFonts w:cs="Times New Roman"/>
                <w:sz w:val="24"/>
                <w:szCs w:val="24"/>
              </w:rPr>
            </w:pPr>
            <w:r w:rsidRPr="0058384F">
              <w:rPr>
                <w:rFonts w:cs="Times New Roman"/>
                <w:sz w:val="24"/>
                <w:szCs w:val="24"/>
              </w:rPr>
              <w:t>Semestrul I 2015</w:t>
            </w:r>
          </w:p>
          <w:p w:rsidR="008D7836" w:rsidRPr="0041654C" w:rsidRDefault="008D7836" w:rsidP="00755D5D">
            <w:pPr>
              <w:jc w:val="center"/>
              <w:rPr>
                <w:rFonts w:cs="Times New Roman"/>
              </w:rPr>
            </w:pPr>
          </w:p>
          <w:p w:rsidR="008D7836" w:rsidRPr="0041654C" w:rsidRDefault="008D7836" w:rsidP="007C2FB6">
            <w:pPr>
              <w:rPr>
                <w:rFonts w:cs="Times New Roman"/>
              </w:rPr>
            </w:pPr>
          </w:p>
          <w:p w:rsidR="008D7836" w:rsidRPr="0041654C" w:rsidRDefault="008D7836" w:rsidP="007C2FB6">
            <w:pPr>
              <w:rPr>
                <w:rFonts w:cs="Times New Roman"/>
              </w:rPr>
            </w:pPr>
          </w:p>
          <w:p w:rsidR="008D7836" w:rsidRPr="0041654C" w:rsidRDefault="008D7836" w:rsidP="007C2FB6">
            <w:pPr>
              <w:rPr>
                <w:rFonts w:cs="Times New Roman"/>
              </w:rPr>
            </w:pPr>
          </w:p>
          <w:p w:rsidR="00E45B0E" w:rsidRDefault="00E45B0E" w:rsidP="007C2FB6">
            <w:pPr>
              <w:rPr>
                <w:rFonts w:cs="Times New Roman"/>
              </w:rPr>
            </w:pPr>
          </w:p>
          <w:p w:rsidR="0058384F" w:rsidRPr="0041654C" w:rsidRDefault="0058384F" w:rsidP="007C2FB6">
            <w:pPr>
              <w:rPr>
                <w:rFonts w:cs="Times New Roman"/>
              </w:rPr>
            </w:pPr>
          </w:p>
          <w:p w:rsidR="008D7836" w:rsidRPr="0041654C" w:rsidRDefault="008D7836" w:rsidP="008C7E4F">
            <w:pPr>
              <w:jc w:val="center"/>
              <w:rPr>
                <w:rFonts w:cs="Times New Roman"/>
                <w:sz w:val="24"/>
                <w:szCs w:val="24"/>
              </w:rPr>
            </w:pPr>
            <w:r w:rsidRPr="0041654C">
              <w:rPr>
                <w:rFonts w:cs="Times New Roman"/>
                <w:sz w:val="24"/>
                <w:szCs w:val="24"/>
              </w:rPr>
              <w:t>Ianuarie 2015</w:t>
            </w: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r w:rsidRPr="0041654C">
              <w:rPr>
                <w:rFonts w:cs="Times New Roman"/>
                <w:sz w:val="24"/>
                <w:szCs w:val="24"/>
              </w:rPr>
              <w:t>Septembrie 2014</w:t>
            </w:r>
          </w:p>
        </w:tc>
      </w:tr>
      <w:tr w:rsidR="008D7836" w:rsidRPr="0041654C" w:rsidTr="00B44F64">
        <w:tc>
          <w:tcPr>
            <w:tcW w:w="706" w:type="dxa"/>
          </w:tcPr>
          <w:p w:rsidR="008D7836" w:rsidRDefault="008D7836" w:rsidP="002D4FFD">
            <w:pPr>
              <w:rPr>
                <w:rFonts w:cs="Times New Roman"/>
                <w:b/>
              </w:rPr>
            </w:pPr>
          </w:p>
          <w:p w:rsidR="004A255D" w:rsidRDefault="004A255D" w:rsidP="002D4FFD">
            <w:pPr>
              <w:rPr>
                <w:rFonts w:cs="Times New Roman"/>
                <w:b/>
              </w:rPr>
            </w:pPr>
          </w:p>
          <w:p w:rsidR="008C7E4F" w:rsidRPr="0041654C" w:rsidRDefault="008C7E4F" w:rsidP="002D4FFD">
            <w:pPr>
              <w:rPr>
                <w:rFonts w:cs="Times New Roman"/>
                <w:b/>
              </w:rPr>
            </w:pPr>
          </w:p>
          <w:p w:rsidR="008D7836" w:rsidRPr="0041654C" w:rsidRDefault="008D7836" w:rsidP="00A42D48">
            <w:pPr>
              <w:jc w:val="center"/>
              <w:rPr>
                <w:rFonts w:cs="Times New Roman"/>
                <w:b/>
              </w:rPr>
            </w:pPr>
            <w:r w:rsidRPr="0041654C">
              <w:rPr>
                <w:rFonts w:cs="Times New Roman"/>
                <w:b/>
              </w:rPr>
              <w:t>4</w:t>
            </w:r>
          </w:p>
        </w:tc>
        <w:tc>
          <w:tcPr>
            <w:tcW w:w="4244" w:type="dxa"/>
          </w:tcPr>
          <w:p w:rsidR="008D7836" w:rsidRDefault="008D7836" w:rsidP="0027599D">
            <w:pPr>
              <w:jc w:val="both"/>
              <w:rPr>
                <w:rFonts w:eastAsia="Times New Roman" w:cs="Times New Roman"/>
                <w:b/>
                <w:sz w:val="24"/>
                <w:szCs w:val="24"/>
              </w:rPr>
            </w:pPr>
          </w:p>
          <w:p w:rsidR="004A255D" w:rsidRPr="0041654C" w:rsidRDefault="004A255D" w:rsidP="0027599D">
            <w:pPr>
              <w:jc w:val="both"/>
              <w:rPr>
                <w:rFonts w:eastAsia="Times New Roman" w:cs="Times New Roman"/>
                <w:b/>
                <w:sz w:val="24"/>
                <w:szCs w:val="24"/>
              </w:rPr>
            </w:pPr>
          </w:p>
          <w:p w:rsidR="008D7836" w:rsidRPr="0041654C" w:rsidRDefault="008D7836" w:rsidP="0027599D">
            <w:pPr>
              <w:jc w:val="both"/>
              <w:rPr>
                <w:rFonts w:eastAsia="Times New Roman" w:cs="Times New Roman"/>
                <w:b/>
                <w:sz w:val="24"/>
                <w:szCs w:val="24"/>
              </w:rPr>
            </w:pPr>
            <w:r w:rsidRPr="0041654C">
              <w:rPr>
                <w:rFonts w:eastAsia="Times New Roman" w:cs="Times New Roman"/>
                <w:b/>
                <w:sz w:val="24"/>
                <w:szCs w:val="24"/>
              </w:rPr>
              <w:t>Creşterea lichidităţii pieţei şi  atragerea de noi investitori pe piaţa de capital prin:</w:t>
            </w:r>
          </w:p>
          <w:p w:rsidR="008D7836" w:rsidRPr="0041654C" w:rsidRDefault="008D7836" w:rsidP="0027599D">
            <w:pPr>
              <w:jc w:val="center"/>
              <w:rPr>
                <w:rFonts w:eastAsia="Times New Roman" w:cs="Times New Roman"/>
                <w:sz w:val="24"/>
                <w:szCs w:val="24"/>
              </w:rPr>
            </w:pPr>
          </w:p>
          <w:p w:rsidR="008D7836" w:rsidRPr="0041654C" w:rsidRDefault="008D7836" w:rsidP="0027599D">
            <w:pPr>
              <w:jc w:val="both"/>
              <w:rPr>
                <w:rFonts w:eastAsia="Times New Roman" w:cs="Times New Roman"/>
                <w:sz w:val="24"/>
                <w:szCs w:val="24"/>
              </w:rPr>
            </w:pPr>
          </w:p>
          <w:p w:rsidR="008D7836" w:rsidRPr="0041654C" w:rsidRDefault="008D7836" w:rsidP="001D7A73">
            <w:pPr>
              <w:pStyle w:val="Listparagraf"/>
              <w:numPr>
                <w:ilvl w:val="0"/>
                <w:numId w:val="22"/>
              </w:numPr>
              <w:ind w:left="34" w:hanging="34"/>
              <w:jc w:val="both"/>
              <w:rPr>
                <w:rFonts w:eastAsia="Times New Roman" w:cs="Times New Roman"/>
                <w:sz w:val="24"/>
                <w:szCs w:val="24"/>
              </w:rPr>
            </w:pPr>
            <w:r w:rsidRPr="0041654C">
              <w:rPr>
                <w:rFonts w:eastAsia="Times New Roman" w:cs="Times New Roman"/>
                <w:sz w:val="24"/>
                <w:szCs w:val="24"/>
              </w:rPr>
              <w:t>Dezvoltarea și eficientizarea activității market-makerilor</w:t>
            </w:r>
          </w:p>
          <w:p w:rsidR="008D7836" w:rsidRPr="0041654C" w:rsidRDefault="008D7836" w:rsidP="0027599D">
            <w:pPr>
              <w:jc w:val="both"/>
              <w:rPr>
                <w:rFonts w:eastAsia="Times New Roman" w:cs="Times New Roman"/>
                <w:color w:val="FF0000"/>
                <w:sz w:val="24"/>
                <w:szCs w:val="24"/>
              </w:rPr>
            </w:pPr>
          </w:p>
          <w:p w:rsidR="008D7836" w:rsidRDefault="008D7836" w:rsidP="0027599D">
            <w:pPr>
              <w:jc w:val="both"/>
              <w:rPr>
                <w:rFonts w:eastAsia="Times New Roman" w:cs="Times New Roman"/>
                <w:sz w:val="24"/>
                <w:szCs w:val="24"/>
              </w:rPr>
            </w:pPr>
          </w:p>
          <w:p w:rsidR="00AC051F" w:rsidRDefault="00AC051F" w:rsidP="0027599D">
            <w:pPr>
              <w:jc w:val="both"/>
              <w:rPr>
                <w:rFonts w:eastAsia="Times New Roman" w:cs="Times New Roman"/>
                <w:sz w:val="24"/>
                <w:szCs w:val="24"/>
              </w:rPr>
            </w:pPr>
          </w:p>
          <w:p w:rsidR="00AC051F" w:rsidRPr="0041654C" w:rsidRDefault="00AC051F" w:rsidP="0027599D">
            <w:pPr>
              <w:jc w:val="both"/>
              <w:rPr>
                <w:rFonts w:eastAsia="Times New Roman" w:cs="Times New Roman"/>
                <w:sz w:val="24"/>
                <w:szCs w:val="24"/>
              </w:rPr>
            </w:pPr>
          </w:p>
          <w:p w:rsidR="008D7836" w:rsidRPr="0041654C" w:rsidRDefault="008D7836" w:rsidP="0027599D">
            <w:pPr>
              <w:jc w:val="both"/>
              <w:rPr>
                <w:rFonts w:eastAsia="Times New Roman" w:cs="Times New Roman"/>
                <w:sz w:val="24"/>
                <w:szCs w:val="24"/>
              </w:rPr>
            </w:pPr>
          </w:p>
          <w:p w:rsidR="008D7836" w:rsidRPr="0041654C" w:rsidRDefault="008D7836" w:rsidP="002D7E78">
            <w:pPr>
              <w:pStyle w:val="Listparagraf"/>
              <w:numPr>
                <w:ilvl w:val="0"/>
                <w:numId w:val="22"/>
              </w:numPr>
              <w:ind w:left="34" w:firstLine="0"/>
              <w:jc w:val="both"/>
              <w:rPr>
                <w:rFonts w:cs="Times New Roman"/>
                <w:sz w:val="24"/>
                <w:szCs w:val="24"/>
              </w:rPr>
            </w:pPr>
            <w:r w:rsidRPr="0041654C">
              <w:rPr>
                <w:rFonts w:eastAsia="Times New Roman" w:cs="Times New Roman"/>
                <w:sz w:val="24"/>
                <w:szCs w:val="24"/>
              </w:rPr>
              <w:t>crearea unui program educaţional în domeniul pieţei de capital</w:t>
            </w: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Default="008D7836" w:rsidP="0027599D">
            <w:pPr>
              <w:jc w:val="both"/>
              <w:rPr>
                <w:rFonts w:cs="Times New Roman"/>
                <w:sz w:val="24"/>
                <w:szCs w:val="24"/>
              </w:rPr>
            </w:pPr>
          </w:p>
          <w:p w:rsidR="00056608" w:rsidRDefault="00056608" w:rsidP="0027599D">
            <w:pPr>
              <w:jc w:val="both"/>
              <w:rPr>
                <w:rFonts w:cs="Times New Roman"/>
                <w:sz w:val="24"/>
                <w:szCs w:val="24"/>
              </w:rPr>
            </w:pPr>
          </w:p>
          <w:p w:rsidR="00056608" w:rsidRDefault="00056608" w:rsidP="0027599D">
            <w:pPr>
              <w:jc w:val="both"/>
              <w:rPr>
                <w:rFonts w:cs="Times New Roman"/>
                <w:sz w:val="24"/>
                <w:szCs w:val="24"/>
              </w:rPr>
            </w:pPr>
          </w:p>
          <w:p w:rsidR="009F1CB2" w:rsidRDefault="009F1CB2" w:rsidP="0027599D">
            <w:pPr>
              <w:jc w:val="both"/>
              <w:rPr>
                <w:rFonts w:cs="Times New Roman"/>
                <w:sz w:val="24"/>
                <w:szCs w:val="24"/>
              </w:rPr>
            </w:pPr>
          </w:p>
          <w:p w:rsidR="00056608" w:rsidRPr="0041654C" w:rsidRDefault="00056608" w:rsidP="0027599D">
            <w:pPr>
              <w:jc w:val="both"/>
              <w:rPr>
                <w:rFonts w:cs="Times New Roman"/>
                <w:sz w:val="24"/>
                <w:szCs w:val="24"/>
              </w:rPr>
            </w:pPr>
          </w:p>
          <w:p w:rsidR="008D7836" w:rsidRPr="0041654C" w:rsidRDefault="008D7836" w:rsidP="002D7E78">
            <w:pPr>
              <w:pStyle w:val="Listparagraf"/>
              <w:numPr>
                <w:ilvl w:val="0"/>
                <w:numId w:val="22"/>
              </w:numPr>
              <w:ind w:left="34" w:hanging="34"/>
              <w:jc w:val="both"/>
              <w:rPr>
                <w:rFonts w:cs="Times New Roman"/>
                <w:sz w:val="24"/>
                <w:szCs w:val="24"/>
              </w:rPr>
            </w:pPr>
            <w:r w:rsidRPr="0041654C">
              <w:rPr>
                <w:rFonts w:eastAsia="Times New Roman" w:cs="Times New Roman"/>
                <w:sz w:val="24"/>
                <w:szCs w:val="24"/>
              </w:rPr>
              <w:t>diversificarea tipurilor de organisme de plasament colectiv (OPC) reglementate de ASF (în special cele care investesc în fazele de inițiere şi dezvoltare a unei afaceri).</w:t>
            </w:r>
          </w:p>
          <w:p w:rsidR="008D7836" w:rsidRDefault="008D7836" w:rsidP="0027599D">
            <w:pPr>
              <w:jc w:val="both"/>
              <w:rPr>
                <w:rFonts w:cs="Times New Roman"/>
                <w:sz w:val="24"/>
                <w:szCs w:val="24"/>
              </w:rPr>
            </w:pPr>
          </w:p>
          <w:p w:rsidR="009F1CB2" w:rsidRPr="0041654C" w:rsidRDefault="009F1CB2" w:rsidP="0027599D">
            <w:pPr>
              <w:jc w:val="both"/>
              <w:rPr>
                <w:rFonts w:cs="Times New Roman"/>
                <w:sz w:val="24"/>
                <w:szCs w:val="24"/>
              </w:rPr>
            </w:pPr>
          </w:p>
          <w:p w:rsidR="008D7836" w:rsidRPr="003265AC" w:rsidRDefault="008D7836" w:rsidP="003265AC">
            <w:pPr>
              <w:jc w:val="both"/>
              <w:rPr>
                <w:rFonts w:cs="Times New Roman"/>
                <w:sz w:val="24"/>
                <w:szCs w:val="24"/>
              </w:rPr>
            </w:pPr>
          </w:p>
          <w:p w:rsidR="008D7836" w:rsidRPr="0041654C" w:rsidRDefault="008D7836" w:rsidP="002D7E78">
            <w:pPr>
              <w:pStyle w:val="Listparagraf"/>
              <w:numPr>
                <w:ilvl w:val="0"/>
                <w:numId w:val="22"/>
              </w:numPr>
              <w:ind w:left="0" w:firstLine="34"/>
              <w:jc w:val="both"/>
              <w:rPr>
                <w:rFonts w:cs="Times New Roman"/>
              </w:rPr>
            </w:pPr>
            <w:r w:rsidRPr="0041654C">
              <w:rPr>
                <w:rFonts w:eastAsia="Times New Roman" w:cs="Times New Roman"/>
                <w:sz w:val="24"/>
                <w:szCs w:val="24"/>
              </w:rPr>
              <w:t>crearea cadrului legal privind înfiinţarea şi funcţionarea cluburilor de investiţii.</w:t>
            </w:r>
          </w:p>
          <w:p w:rsidR="008D7836" w:rsidRPr="0041654C" w:rsidRDefault="008D7836" w:rsidP="00F17E23">
            <w:pPr>
              <w:jc w:val="both"/>
              <w:rPr>
                <w:rFonts w:cs="Times New Roman"/>
                <w:sz w:val="24"/>
                <w:szCs w:val="24"/>
              </w:rPr>
            </w:pPr>
          </w:p>
          <w:p w:rsidR="008D7836" w:rsidRPr="0041654C" w:rsidRDefault="008D7836" w:rsidP="00F17E23">
            <w:pPr>
              <w:jc w:val="both"/>
              <w:rPr>
                <w:rFonts w:cs="Times New Roman"/>
                <w:sz w:val="24"/>
                <w:szCs w:val="24"/>
              </w:rPr>
            </w:pPr>
          </w:p>
          <w:p w:rsidR="008D7836" w:rsidRPr="0041654C" w:rsidRDefault="008D7836" w:rsidP="00F17E23">
            <w:pPr>
              <w:jc w:val="both"/>
              <w:rPr>
                <w:rFonts w:cs="Times New Roman"/>
                <w:sz w:val="24"/>
                <w:szCs w:val="24"/>
              </w:rPr>
            </w:pPr>
          </w:p>
          <w:p w:rsidR="008D7836" w:rsidRPr="0041654C" w:rsidRDefault="008D7836" w:rsidP="00F17E23">
            <w:pPr>
              <w:jc w:val="both"/>
              <w:rPr>
                <w:rFonts w:cs="Times New Roman"/>
                <w:sz w:val="24"/>
                <w:szCs w:val="24"/>
              </w:rPr>
            </w:pPr>
          </w:p>
          <w:p w:rsidR="008D7836" w:rsidRPr="0041654C" w:rsidRDefault="008D7836" w:rsidP="00F17E23">
            <w:pPr>
              <w:jc w:val="both"/>
              <w:rPr>
                <w:rFonts w:cs="Times New Roman"/>
                <w:sz w:val="24"/>
                <w:szCs w:val="24"/>
              </w:rPr>
            </w:pPr>
          </w:p>
          <w:p w:rsidR="008D7836" w:rsidRDefault="008D7836" w:rsidP="00F17E23">
            <w:pPr>
              <w:jc w:val="both"/>
              <w:rPr>
                <w:rFonts w:cs="Times New Roman"/>
                <w:sz w:val="24"/>
                <w:szCs w:val="24"/>
              </w:rPr>
            </w:pPr>
          </w:p>
          <w:p w:rsidR="008C7E4F" w:rsidRPr="0041654C" w:rsidRDefault="008C7E4F" w:rsidP="00F17E23">
            <w:pPr>
              <w:jc w:val="both"/>
              <w:rPr>
                <w:rFonts w:cs="Times New Roman"/>
                <w:sz w:val="24"/>
                <w:szCs w:val="24"/>
              </w:rPr>
            </w:pPr>
          </w:p>
          <w:p w:rsidR="008D7836" w:rsidRDefault="008D7836" w:rsidP="00F17E23">
            <w:pPr>
              <w:jc w:val="both"/>
              <w:rPr>
                <w:rFonts w:cs="Times New Roman"/>
                <w:sz w:val="24"/>
                <w:szCs w:val="24"/>
              </w:rPr>
            </w:pPr>
          </w:p>
          <w:p w:rsidR="009F1CB2" w:rsidRDefault="009F1CB2" w:rsidP="00F17E23">
            <w:pPr>
              <w:jc w:val="both"/>
              <w:rPr>
                <w:rFonts w:cs="Times New Roman"/>
                <w:sz w:val="24"/>
                <w:szCs w:val="24"/>
              </w:rPr>
            </w:pPr>
          </w:p>
          <w:p w:rsidR="004D2DD2" w:rsidRPr="0041654C" w:rsidRDefault="004D2DD2" w:rsidP="00F17E23">
            <w:pPr>
              <w:jc w:val="both"/>
              <w:rPr>
                <w:rFonts w:cs="Times New Roman"/>
                <w:sz w:val="24"/>
                <w:szCs w:val="24"/>
              </w:rPr>
            </w:pPr>
          </w:p>
          <w:p w:rsidR="008D7836" w:rsidRPr="0041654C" w:rsidRDefault="008D7836" w:rsidP="002D7E78">
            <w:pPr>
              <w:pStyle w:val="Listparagraf"/>
              <w:numPr>
                <w:ilvl w:val="0"/>
                <w:numId w:val="22"/>
              </w:numPr>
              <w:ind w:left="0" w:firstLine="0"/>
              <w:jc w:val="both"/>
              <w:rPr>
                <w:rFonts w:cs="Times New Roman"/>
                <w:sz w:val="24"/>
                <w:szCs w:val="24"/>
              </w:rPr>
            </w:pPr>
            <w:r w:rsidRPr="0041654C">
              <w:rPr>
                <w:rFonts w:cs="Times New Roman"/>
                <w:sz w:val="24"/>
                <w:szCs w:val="24"/>
              </w:rPr>
              <w:t>reducerea nivelului cotelor/ tarifelor percepute de ASF</w:t>
            </w:r>
          </w:p>
          <w:p w:rsidR="008D7836" w:rsidRPr="0041654C" w:rsidRDefault="008D7836" w:rsidP="0000776E">
            <w:pPr>
              <w:pStyle w:val="Listparagraf"/>
              <w:ind w:left="0"/>
              <w:jc w:val="both"/>
              <w:rPr>
                <w:rFonts w:cs="Times New Roman"/>
                <w:sz w:val="24"/>
                <w:szCs w:val="24"/>
              </w:rPr>
            </w:pPr>
          </w:p>
          <w:p w:rsidR="008D7836" w:rsidRPr="0041654C" w:rsidRDefault="008D7836" w:rsidP="0000776E">
            <w:pPr>
              <w:pStyle w:val="Listparagraf"/>
              <w:ind w:left="0"/>
              <w:jc w:val="both"/>
              <w:rPr>
                <w:rFonts w:cs="Times New Roman"/>
                <w:sz w:val="24"/>
                <w:szCs w:val="24"/>
              </w:rPr>
            </w:pPr>
          </w:p>
          <w:p w:rsidR="008D7836" w:rsidRPr="0041654C" w:rsidRDefault="008D7836" w:rsidP="00FE0D91">
            <w:pPr>
              <w:ind w:left="360"/>
              <w:jc w:val="both"/>
              <w:rPr>
                <w:rFonts w:cs="Times New Roman"/>
                <w:sz w:val="24"/>
                <w:szCs w:val="24"/>
              </w:rPr>
            </w:pPr>
          </w:p>
          <w:p w:rsidR="008D7836" w:rsidRPr="0041654C" w:rsidRDefault="008D7836" w:rsidP="009F606E">
            <w:pPr>
              <w:pStyle w:val="Listparagraf"/>
              <w:numPr>
                <w:ilvl w:val="0"/>
                <w:numId w:val="22"/>
              </w:numPr>
              <w:ind w:left="34" w:firstLine="0"/>
              <w:jc w:val="both"/>
              <w:rPr>
                <w:rFonts w:cs="Times New Roman"/>
                <w:sz w:val="24"/>
                <w:szCs w:val="24"/>
              </w:rPr>
            </w:pPr>
            <w:r w:rsidRPr="0041654C">
              <w:rPr>
                <w:rFonts w:cs="Times New Roman"/>
                <w:sz w:val="24"/>
                <w:szCs w:val="24"/>
              </w:rPr>
              <w:t>Atragerea unor categorii specifice de emitenți pe piața de capital</w:t>
            </w:r>
          </w:p>
          <w:p w:rsidR="008D7836" w:rsidRPr="0041654C" w:rsidRDefault="008D7836" w:rsidP="00FE0D91">
            <w:pPr>
              <w:pStyle w:val="Listparagraf"/>
              <w:ind w:left="0"/>
              <w:jc w:val="both"/>
              <w:rPr>
                <w:rFonts w:cs="Times New Roman"/>
                <w:sz w:val="24"/>
                <w:szCs w:val="24"/>
              </w:rPr>
            </w:pPr>
          </w:p>
        </w:tc>
        <w:tc>
          <w:tcPr>
            <w:tcW w:w="7380" w:type="dxa"/>
          </w:tcPr>
          <w:p w:rsidR="008D7836" w:rsidRPr="0041654C" w:rsidRDefault="008D7836" w:rsidP="0027599D">
            <w:pPr>
              <w:jc w:val="both"/>
              <w:rPr>
                <w:rFonts w:eastAsia="Times New Roman" w:cs="Times New Roman"/>
                <w:sz w:val="24"/>
                <w:szCs w:val="24"/>
              </w:rPr>
            </w:pPr>
          </w:p>
          <w:p w:rsidR="008D7836" w:rsidRPr="0041654C" w:rsidRDefault="008D7836" w:rsidP="0027599D">
            <w:pPr>
              <w:jc w:val="both"/>
              <w:rPr>
                <w:rFonts w:eastAsia="Times New Roman" w:cs="Times New Roman"/>
                <w:sz w:val="24"/>
                <w:szCs w:val="24"/>
              </w:rPr>
            </w:pPr>
          </w:p>
          <w:p w:rsidR="008D7836" w:rsidRPr="0041654C" w:rsidRDefault="008D7836" w:rsidP="0027599D">
            <w:pPr>
              <w:jc w:val="both"/>
              <w:rPr>
                <w:rFonts w:eastAsia="Times New Roman" w:cs="Times New Roman"/>
                <w:sz w:val="24"/>
                <w:szCs w:val="24"/>
              </w:rPr>
            </w:pPr>
          </w:p>
          <w:p w:rsidR="008D7836" w:rsidRDefault="008D7836" w:rsidP="0027599D">
            <w:pPr>
              <w:jc w:val="both"/>
              <w:rPr>
                <w:rFonts w:eastAsia="Times New Roman" w:cs="Times New Roman"/>
                <w:sz w:val="24"/>
                <w:szCs w:val="24"/>
              </w:rPr>
            </w:pPr>
          </w:p>
          <w:p w:rsidR="00AC051F" w:rsidRPr="0041654C" w:rsidRDefault="00AC051F" w:rsidP="0027599D">
            <w:pPr>
              <w:jc w:val="both"/>
              <w:rPr>
                <w:rFonts w:eastAsia="Times New Roman" w:cs="Times New Roman"/>
                <w:sz w:val="24"/>
                <w:szCs w:val="24"/>
              </w:rPr>
            </w:pPr>
          </w:p>
          <w:p w:rsidR="008D7836" w:rsidRPr="0041654C" w:rsidRDefault="008D7836" w:rsidP="00B928F2">
            <w:pPr>
              <w:pStyle w:val="Listparagraf"/>
              <w:numPr>
                <w:ilvl w:val="0"/>
                <w:numId w:val="21"/>
              </w:numPr>
              <w:ind w:left="176" w:firstLine="0"/>
              <w:jc w:val="both"/>
              <w:rPr>
                <w:rFonts w:eastAsia="Times New Roman" w:cs="Times New Roman"/>
                <w:sz w:val="24"/>
                <w:szCs w:val="24"/>
              </w:rPr>
            </w:pPr>
            <w:r w:rsidRPr="0041654C">
              <w:rPr>
                <w:rFonts w:eastAsia="Times New Roman" w:cs="Times New Roman"/>
                <w:sz w:val="24"/>
                <w:szCs w:val="24"/>
              </w:rPr>
              <w:t xml:space="preserve">Revizuirea prevederilor legislației secundare emise de ASF și ale reglementărilor proprii ale operatorilor de piață referitoare </w:t>
            </w:r>
            <w:r w:rsidR="004746DE">
              <w:rPr>
                <w:rFonts w:eastAsia="Times New Roman" w:cs="Times New Roman"/>
                <w:sz w:val="24"/>
                <w:szCs w:val="24"/>
              </w:rPr>
              <w:t>la activitatea market-makerilor</w:t>
            </w:r>
          </w:p>
          <w:p w:rsidR="008D7836" w:rsidRPr="00AD422E" w:rsidRDefault="008D7836" w:rsidP="00AD422E">
            <w:pPr>
              <w:jc w:val="both"/>
              <w:rPr>
                <w:rFonts w:eastAsia="Times New Roman" w:cs="Times New Roman"/>
                <w:color w:val="FF0000"/>
                <w:sz w:val="24"/>
                <w:szCs w:val="24"/>
              </w:rPr>
            </w:pPr>
          </w:p>
          <w:p w:rsidR="008D7836" w:rsidRPr="0041654C" w:rsidRDefault="008D7836" w:rsidP="00B928F2">
            <w:pPr>
              <w:pStyle w:val="Listparagraf"/>
              <w:numPr>
                <w:ilvl w:val="0"/>
                <w:numId w:val="21"/>
              </w:numPr>
              <w:ind w:left="176" w:firstLine="0"/>
              <w:jc w:val="both"/>
              <w:rPr>
                <w:rFonts w:eastAsia="Times New Roman" w:cs="Times New Roman"/>
                <w:sz w:val="24"/>
                <w:szCs w:val="24"/>
              </w:rPr>
            </w:pPr>
            <w:r w:rsidRPr="0041654C">
              <w:rPr>
                <w:rFonts w:eastAsia="Times New Roman" w:cs="Times New Roman"/>
                <w:sz w:val="24"/>
                <w:szCs w:val="24"/>
              </w:rPr>
              <w:t>Analizarea oportunității și posibilității acordării de facilități market-makerilor î</w:t>
            </w:r>
            <w:r w:rsidR="004746DE">
              <w:rPr>
                <w:rFonts w:eastAsia="Times New Roman" w:cs="Times New Roman"/>
                <w:sz w:val="24"/>
                <w:szCs w:val="24"/>
              </w:rPr>
              <w:t>n activitatea de tranzacționare</w:t>
            </w:r>
          </w:p>
          <w:p w:rsidR="008D7836" w:rsidRPr="0041654C" w:rsidRDefault="008D7836" w:rsidP="0027599D">
            <w:pPr>
              <w:jc w:val="both"/>
              <w:rPr>
                <w:rFonts w:eastAsia="Times New Roman" w:cs="Times New Roman"/>
                <w:color w:val="FF0000"/>
                <w:sz w:val="24"/>
                <w:szCs w:val="24"/>
              </w:rPr>
            </w:pPr>
          </w:p>
          <w:p w:rsidR="008D7836" w:rsidRDefault="008D7836" w:rsidP="0027599D">
            <w:pPr>
              <w:jc w:val="both"/>
              <w:rPr>
                <w:rFonts w:eastAsia="Times New Roman" w:cs="Times New Roman"/>
                <w:sz w:val="24"/>
                <w:szCs w:val="24"/>
              </w:rPr>
            </w:pPr>
          </w:p>
          <w:p w:rsidR="00056608" w:rsidRPr="0041654C" w:rsidRDefault="00056608" w:rsidP="0027599D">
            <w:pPr>
              <w:jc w:val="both"/>
              <w:rPr>
                <w:rFonts w:eastAsia="Times New Roman" w:cs="Times New Roman"/>
                <w:sz w:val="24"/>
                <w:szCs w:val="24"/>
              </w:rPr>
            </w:pPr>
          </w:p>
          <w:p w:rsidR="008D7836" w:rsidRPr="0041654C" w:rsidRDefault="008D7836" w:rsidP="0027599D">
            <w:pPr>
              <w:pStyle w:val="Listparagraf"/>
              <w:numPr>
                <w:ilvl w:val="0"/>
                <w:numId w:val="7"/>
              </w:numPr>
              <w:ind w:left="0" w:firstLine="34"/>
              <w:jc w:val="both"/>
              <w:rPr>
                <w:rFonts w:eastAsia="Times New Roman" w:cs="Times New Roman"/>
                <w:sz w:val="24"/>
                <w:szCs w:val="24"/>
              </w:rPr>
            </w:pPr>
            <w:r w:rsidRPr="0041654C">
              <w:rPr>
                <w:rFonts w:cs="Times New Roman"/>
                <w:sz w:val="24"/>
                <w:szCs w:val="24"/>
              </w:rPr>
              <w:t xml:space="preserve">Crearea pe site-ul ASF a </w:t>
            </w:r>
            <w:r w:rsidRPr="0041654C">
              <w:rPr>
                <w:rFonts w:eastAsia="Times New Roman" w:cs="Times New Roman"/>
                <w:sz w:val="24"/>
                <w:szCs w:val="24"/>
              </w:rPr>
              <w:t xml:space="preserve"> unei secţiuni dedicate educaţiei investitorilor pe piața de capital</w:t>
            </w:r>
          </w:p>
          <w:p w:rsidR="008D7836" w:rsidRPr="0041654C" w:rsidRDefault="008D7836" w:rsidP="0027599D">
            <w:pPr>
              <w:jc w:val="both"/>
              <w:rPr>
                <w:rFonts w:eastAsia="Times New Roman" w:cs="Times New Roman"/>
                <w:sz w:val="24"/>
                <w:szCs w:val="24"/>
              </w:rPr>
            </w:pPr>
          </w:p>
          <w:p w:rsidR="008D7836" w:rsidRPr="0041654C" w:rsidRDefault="008D7836" w:rsidP="0027599D">
            <w:pPr>
              <w:jc w:val="both"/>
              <w:rPr>
                <w:rFonts w:eastAsia="Times New Roman" w:cs="Times New Roman"/>
                <w:sz w:val="24"/>
                <w:szCs w:val="24"/>
              </w:rPr>
            </w:pPr>
          </w:p>
          <w:p w:rsidR="008D7836" w:rsidRPr="0041654C" w:rsidRDefault="008D7836" w:rsidP="0027599D">
            <w:pPr>
              <w:pStyle w:val="Listparagraf"/>
              <w:numPr>
                <w:ilvl w:val="0"/>
                <w:numId w:val="7"/>
              </w:numPr>
              <w:ind w:left="34" w:hanging="34"/>
              <w:jc w:val="both"/>
              <w:rPr>
                <w:rFonts w:eastAsia="Times New Roman" w:cs="Times New Roman"/>
                <w:sz w:val="24"/>
                <w:szCs w:val="24"/>
              </w:rPr>
            </w:pPr>
            <w:r w:rsidRPr="0041654C">
              <w:rPr>
                <w:rFonts w:eastAsia="Times New Roman" w:cs="Times New Roman"/>
                <w:sz w:val="24"/>
                <w:szCs w:val="24"/>
              </w:rPr>
              <w:t>Organizarea de către ASF de conferinţe/prezentări pe durata a două zile fiecare</w:t>
            </w:r>
            <w:r w:rsidR="00AC051F">
              <w:rPr>
                <w:rFonts w:eastAsia="Times New Roman" w:cs="Times New Roman"/>
                <w:sz w:val="24"/>
                <w:szCs w:val="24"/>
              </w:rPr>
              <w:t>,</w:t>
            </w:r>
            <w:r w:rsidRPr="0041654C">
              <w:rPr>
                <w:rFonts w:eastAsia="Times New Roman" w:cs="Times New Roman"/>
                <w:sz w:val="24"/>
                <w:szCs w:val="24"/>
              </w:rPr>
              <w:t xml:space="preserve"> destinate unor categorii specifice de investitori, în cele mai reprezentative orașe (ex. București, Timișoara</w:t>
            </w:r>
            <w:r w:rsidR="004746DE">
              <w:rPr>
                <w:rFonts w:eastAsia="Times New Roman" w:cs="Times New Roman"/>
                <w:sz w:val="24"/>
                <w:szCs w:val="24"/>
              </w:rPr>
              <w:t>, Constanţa, Iași, Brașov, Cluj</w:t>
            </w:r>
            <w:r w:rsidRPr="0041654C">
              <w:rPr>
                <w:rFonts w:eastAsia="Times New Roman" w:cs="Times New Roman"/>
                <w:sz w:val="24"/>
                <w:szCs w:val="24"/>
              </w:rPr>
              <w:t xml:space="preserve"> </w:t>
            </w:r>
          </w:p>
          <w:p w:rsidR="008D7836" w:rsidRPr="0041654C" w:rsidRDefault="008D7836" w:rsidP="0027599D">
            <w:pPr>
              <w:jc w:val="both"/>
              <w:rPr>
                <w:rFonts w:eastAsia="Times New Roman" w:cs="Times New Roman"/>
                <w:sz w:val="24"/>
                <w:szCs w:val="24"/>
              </w:rPr>
            </w:pPr>
          </w:p>
          <w:p w:rsidR="008D7836" w:rsidRPr="0041654C" w:rsidRDefault="008D7836" w:rsidP="0027599D">
            <w:pPr>
              <w:jc w:val="both"/>
              <w:rPr>
                <w:rFonts w:eastAsia="Times New Roman" w:cs="Times New Roman"/>
                <w:sz w:val="24"/>
                <w:szCs w:val="24"/>
              </w:rPr>
            </w:pPr>
          </w:p>
          <w:p w:rsidR="008D7836" w:rsidRPr="0041654C" w:rsidRDefault="008D7836" w:rsidP="0027599D">
            <w:pPr>
              <w:numPr>
                <w:ilvl w:val="0"/>
                <w:numId w:val="5"/>
              </w:numPr>
              <w:ind w:left="34" w:hanging="34"/>
              <w:jc w:val="both"/>
              <w:rPr>
                <w:rFonts w:eastAsia="Times New Roman" w:cs="Times New Roman"/>
                <w:sz w:val="24"/>
                <w:szCs w:val="24"/>
              </w:rPr>
            </w:pPr>
            <w:r w:rsidRPr="0041654C">
              <w:rPr>
                <w:rFonts w:eastAsia="Times New Roman" w:cs="Times New Roman"/>
                <w:sz w:val="24"/>
                <w:szCs w:val="24"/>
              </w:rPr>
              <w:t>Organizarea de conferinţe/prezentări destinate membrilor Guvernului şi ai Parlamentului precum şi reprezent</w:t>
            </w:r>
            <w:r w:rsidR="004746DE">
              <w:rPr>
                <w:rFonts w:eastAsia="Times New Roman" w:cs="Times New Roman"/>
                <w:sz w:val="24"/>
                <w:szCs w:val="24"/>
              </w:rPr>
              <w:t>anților instanțelor din România</w:t>
            </w:r>
          </w:p>
          <w:p w:rsidR="008D7836" w:rsidRPr="0041654C" w:rsidRDefault="008D7836" w:rsidP="004A7CBA">
            <w:pPr>
              <w:ind w:left="34"/>
              <w:jc w:val="both"/>
              <w:rPr>
                <w:rFonts w:eastAsia="Times New Roman" w:cs="Times New Roman"/>
                <w:sz w:val="24"/>
                <w:szCs w:val="24"/>
              </w:rPr>
            </w:pPr>
          </w:p>
          <w:p w:rsidR="008D7836" w:rsidRPr="0041654C" w:rsidRDefault="008D7836" w:rsidP="0027599D">
            <w:pPr>
              <w:jc w:val="both"/>
              <w:rPr>
                <w:rFonts w:eastAsia="Times New Roman" w:cs="Times New Roman"/>
                <w:sz w:val="24"/>
                <w:szCs w:val="24"/>
              </w:rPr>
            </w:pPr>
          </w:p>
          <w:p w:rsidR="008D7836" w:rsidRPr="0041654C" w:rsidRDefault="008D7836" w:rsidP="0027599D">
            <w:pPr>
              <w:numPr>
                <w:ilvl w:val="0"/>
                <w:numId w:val="5"/>
              </w:numPr>
              <w:ind w:left="34" w:hanging="34"/>
              <w:jc w:val="both"/>
              <w:rPr>
                <w:rFonts w:eastAsia="Times New Roman" w:cs="Times New Roman"/>
                <w:sz w:val="24"/>
                <w:szCs w:val="24"/>
              </w:rPr>
            </w:pPr>
            <w:r w:rsidRPr="0041654C">
              <w:rPr>
                <w:rFonts w:eastAsia="Times New Roman" w:cs="Times New Roman"/>
                <w:sz w:val="24"/>
                <w:szCs w:val="24"/>
              </w:rPr>
              <w:t xml:space="preserve">Promovarea pieţei de capital, prin organizarea împreună cu </w:t>
            </w:r>
            <w:r w:rsidRPr="0041654C">
              <w:rPr>
                <w:rFonts w:eastAsia="Times New Roman" w:cs="Times New Roman"/>
                <w:sz w:val="24"/>
                <w:szCs w:val="24"/>
              </w:rPr>
              <w:lastRenderedPageBreak/>
              <w:t>operatorii de piață și eventual în parteneriat cu conducerile/membrii patronatelor, camerelor de comerţ, asociaţiilor profesionale a unor întâlniri cu managerii primelor 50 de companii (conform datelor furnizate de M</w:t>
            </w:r>
            <w:r w:rsidR="00AC051F">
              <w:rPr>
                <w:rFonts w:eastAsia="Times New Roman" w:cs="Times New Roman"/>
                <w:sz w:val="24"/>
                <w:szCs w:val="24"/>
              </w:rPr>
              <w:t xml:space="preserve">inisterul </w:t>
            </w:r>
            <w:r w:rsidRPr="0041654C">
              <w:rPr>
                <w:rFonts w:eastAsia="Times New Roman" w:cs="Times New Roman"/>
                <w:sz w:val="24"/>
                <w:szCs w:val="24"/>
              </w:rPr>
              <w:t>F</w:t>
            </w:r>
            <w:r w:rsidR="00AC051F">
              <w:rPr>
                <w:rFonts w:eastAsia="Times New Roman" w:cs="Times New Roman"/>
                <w:sz w:val="24"/>
                <w:szCs w:val="24"/>
              </w:rPr>
              <w:t xml:space="preserve">inanțelor </w:t>
            </w:r>
            <w:r w:rsidRPr="0041654C">
              <w:rPr>
                <w:rFonts w:eastAsia="Times New Roman" w:cs="Times New Roman"/>
                <w:sz w:val="24"/>
                <w:szCs w:val="24"/>
              </w:rPr>
              <w:t>P</w:t>
            </w:r>
            <w:r w:rsidR="00AC051F">
              <w:rPr>
                <w:rFonts w:eastAsia="Times New Roman" w:cs="Times New Roman"/>
                <w:sz w:val="24"/>
                <w:szCs w:val="24"/>
              </w:rPr>
              <w:t>ublice</w:t>
            </w:r>
            <w:r w:rsidRPr="0041654C">
              <w:rPr>
                <w:rFonts w:eastAsia="Times New Roman" w:cs="Times New Roman"/>
                <w:sz w:val="24"/>
                <w:szCs w:val="24"/>
              </w:rPr>
              <w:t>) care nu sunt listate pe</w:t>
            </w:r>
            <w:r w:rsidR="004746DE">
              <w:rPr>
                <w:rFonts w:eastAsia="Times New Roman" w:cs="Times New Roman"/>
                <w:sz w:val="24"/>
                <w:szCs w:val="24"/>
              </w:rPr>
              <w:t xml:space="preserve"> piața de capital din România</w:t>
            </w:r>
          </w:p>
          <w:p w:rsidR="008D7836" w:rsidRPr="0041654C" w:rsidRDefault="008D7836" w:rsidP="0027599D">
            <w:pPr>
              <w:pStyle w:val="Listparagraf"/>
              <w:ind w:left="0"/>
              <w:contextualSpacing w:val="0"/>
              <w:jc w:val="both"/>
              <w:rPr>
                <w:rFonts w:eastAsia="Times New Roman" w:cs="Times New Roman"/>
                <w:sz w:val="24"/>
                <w:szCs w:val="24"/>
              </w:rPr>
            </w:pPr>
          </w:p>
          <w:p w:rsidR="008D7836" w:rsidRDefault="008D7836" w:rsidP="000B53BA">
            <w:pPr>
              <w:jc w:val="both"/>
              <w:rPr>
                <w:rFonts w:cs="Times New Roman"/>
                <w:sz w:val="24"/>
                <w:szCs w:val="24"/>
              </w:rPr>
            </w:pPr>
          </w:p>
          <w:p w:rsidR="009F1CB2" w:rsidRPr="0041654C" w:rsidRDefault="009F1CB2" w:rsidP="000B53BA">
            <w:pPr>
              <w:jc w:val="both"/>
              <w:rPr>
                <w:rFonts w:cs="Times New Roman"/>
                <w:sz w:val="24"/>
                <w:szCs w:val="24"/>
              </w:rPr>
            </w:pPr>
          </w:p>
          <w:p w:rsidR="008D7836" w:rsidRPr="0041654C" w:rsidRDefault="008D7836" w:rsidP="0027599D">
            <w:pPr>
              <w:pStyle w:val="Listparagraf"/>
              <w:numPr>
                <w:ilvl w:val="0"/>
                <w:numId w:val="10"/>
              </w:numPr>
              <w:ind w:left="34" w:firstLine="0"/>
              <w:jc w:val="both"/>
              <w:rPr>
                <w:rFonts w:cs="Times New Roman"/>
                <w:sz w:val="24"/>
                <w:szCs w:val="24"/>
              </w:rPr>
            </w:pPr>
            <w:r w:rsidRPr="0041654C">
              <w:rPr>
                <w:rFonts w:cs="Times New Roman"/>
                <w:sz w:val="24"/>
                <w:szCs w:val="24"/>
              </w:rPr>
              <w:t>Introducerea prin p</w:t>
            </w:r>
            <w:r w:rsidRPr="0041654C">
              <w:rPr>
                <w:rFonts w:eastAsia="Times New Roman" w:cs="Times New Roman"/>
                <w:sz w:val="24"/>
                <w:szCs w:val="24"/>
              </w:rPr>
              <w:t xml:space="preserve">roiectul de regulament privind administratorii de fonduri de investiţii alternative </w:t>
            </w:r>
            <w:r w:rsidRPr="0041654C">
              <w:rPr>
                <w:rFonts w:cs="Times New Roman"/>
                <w:sz w:val="24"/>
                <w:szCs w:val="24"/>
              </w:rPr>
              <w:t>a</w:t>
            </w:r>
            <w:r w:rsidRPr="0041654C">
              <w:rPr>
                <w:rFonts w:eastAsia="Times New Roman" w:cs="Times New Roman"/>
                <w:sz w:val="24"/>
                <w:szCs w:val="24"/>
              </w:rPr>
              <w:t xml:space="preserve"> condiţiil</w:t>
            </w:r>
            <w:r w:rsidRPr="0041654C">
              <w:rPr>
                <w:rFonts w:cs="Times New Roman"/>
                <w:sz w:val="24"/>
                <w:szCs w:val="24"/>
              </w:rPr>
              <w:t>or</w:t>
            </w:r>
            <w:r w:rsidRPr="0041654C">
              <w:rPr>
                <w:rFonts w:eastAsia="Times New Roman" w:cs="Times New Roman"/>
                <w:sz w:val="24"/>
                <w:szCs w:val="24"/>
              </w:rPr>
              <w:t xml:space="preserve"> de funcţionare a unor noi tipuri de organisme de plasament colectiv</w:t>
            </w: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27599D">
            <w:pPr>
              <w:jc w:val="both"/>
              <w:rPr>
                <w:rFonts w:cs="Times New Roman"/>
                <w:sz w:val="24"/>
                <w:szCs w:val="24"/>
              </w:rPr>
            </w:pPr>
          </w:p>
          <w:p w:rsidR="008D7836" w:rsidRPr="0041654C" w:rsidRDefault="008D7836" w:rsidP="001B7DE0">
            <w:pPr>
              <w:pStyle w:val="Listparagraf"/>
              <w:numPr>
                <w:ilvl w:val="0"/>
                <w:numId w:val="9"/>
              </w:numPr>
              <w:spacing w:after="120"/>
              <w:ind w:left="34" w:firstLine="43"/>
              <w:jc w:val="both"/>
              <w:rPr>
                <w:rFonts w:eastAsia="Times New Roman" w:cs="Times New Roman"/>
                <w:sz w:val="24"/>
                <w:szCs w:val="24"/>
              </w:rPr>
            </w:pPr>
            <w:r w:rsidRPr="0041654C">
              <w:rPr>
                <w:rFonts w:cs="Times New Roman"/>
                <w:sz w:val="24"/>
                <w:szCs w:val="24"/>
              </w:rPr>
              <w:t>Elaborarea unui proiect de normă ASF</w:t>
            </w:r>
            <w:r w:rsidRPr="0041654C">
              <w:rPr>
                <w:rFonts w:eastAsia="Times New Roman" w:cs="Times New Roman"/>
                <w:sz w:val="24"/>
                <w:szCs w:val="24"/>
              </w:rPr>
              <w:t xml:space="preserve"> care să reglementeze:</w:t>
            </w:r>
          </w:p>
          <w:p w:rsidR="008D7836" w:rsidRPr="0041654C" w:rsidRDefault="008D7836" w:rsidP="00A80873">
            <w:pPr>
              <w:numPr>
                <w:ilvl w:val="0"/>
                <w:numId w:val="8"/>
              </w:numPr>
              <w:spacing w:after="120"/>
              <w:jc w:val="both"/>
              <w:rPr>
                <w:rFonts w:cs="Times New Roman"/>
                <w:sz w:val="24"/>
                <w:szCs w:val="24"/>
              </w:rPr>
            </w:pPr>
            <w:r w:rsidRPr="0041654C">
              <w:rPr>
                <w:rFonts w:eastAsia="Times New Roman" w:cs="Times New Roman"/>
                <w:sz w:val="24"/>
                <w:szCs w:val="24"/>
              </w:rPr>
              <w:t xml:space="preserve">Constituirea şi funcţionarea cluburilor de investiţii </w:t>
            </w:r>
          </w:p>
          <w:p w:rsidR="008D7836" w:rsidRPr="0041654C" w:rsidRDefault="008D7836" w:rsidP="00A80873">
            <w:pPr>
              <w:numPr>
                <w:ilvl w:val="0"/>
                <w:numId w:val="8"/>
              </w:numPr>
              <w:spacing w:after="120"/>
              <w:jc w:val="both"/>
              <w:rPr>
                <w:rFonts w:cs="Times New Roman"/>
                <w:sz w:val="24"/>
                <w:szCs w:val="24"/>
              </w:rPr>
            </w:pPr>
            <w:r w:rsidRPr="0041654C">
              <w:rPr>
                <w:rFonts w:eastAsia="Times New Roman" w:cs="Times New Roman"/>
                <w:sz w:val="24"/>
                <w:szCs w:val="24"/>
              </w:rPr>
              <w:t xml:space="preserve">Constituirea şi funcţionarea </w:t>
            </w:r>
            <w:r w:rsidR="004746DE">
              <w:rPr>
                <w:rFonts w:eastAsia="Times New Roman" w:cs="Times New Roman"/>
                <w:sz w:val="24"/>
                <w:szCs w:val="24"/>
              </w:rPr>
              <w:t>conturilor comune de investiţii</w:t>
            </w:r>
          </w:p>
          <w:p w:rsidR="008D7836" w:rsidRPr="0041654C" w:rsidRDefault="008D7836" w:rsidP="00A80873">
            <w:pPr>
              <w:spacing w:after="120"/>
              <w:jc w:val="both"/>
              <w:rPr>
                <w:rFonts w:cs="Times New Roman"/>
                <w:sz w:val="24"/>
                <w:szCs w:val="24"/>
              </w:rPr>
            </w:pPr>
          </w:p>
          <w:p w:rsidR="008D7836" w:rsidRPr="0041654C" w:rsidRDefault="008D7836" w:rsidP="001B7DE0">
            <w:pPr>
              <w:pStyle w:val="Listparagraf"/>
              <w:numPr>
                <w:ilvl w:val="0"/>
                <w:numId w:val="9"/>
              </w:numPr>
              <w:spacing w:after="120"/>
              <w:ind w:left="34" w:firstLine="43"/>
              <w:jc w:val="both"/>
              <w:rPr>
                <w:rFonts w:cs="Times New Roman"/>
                <w:sz w:val="24"/>
                <w:szCs w:val="24"/>
              </w:rPr>
            </w:pPr>
            <w:r w:rsidRPr="0041654C">
              <w:rPr>
                <w:rFonts w:cs="Times New Roman"/>
                <w:sz w:val="24"/>
                <w:szCs w:val="24"/>
              </w:rPr>
              <w:t>Inițierea de discuții cu M</w:t>
            </w:r>
            <w:r w:rsidR="004345A3">
              <w:rPr>
                <w:rFonts w:cs="Times New Roman"/>
                <w:sz w:val="24"/>
                <w:szCs w:val="24"/>
              </w:rPr>
              <w:t xml:space="preserve">inisterul </w:t>
            </w:r>
            <w:r w:rsidRPr="0041654C">
              <w:rPr>
                <w:rFonts w:cs="Times New Roman"/>
                <w:sz w:val="24"/>
                <w:szCs w:val="24"/>
              </w:rPr>
              <w:t>F</w:t>
            </w:r>
            <w:r w:rsidR="004345A3">
              <w:rPr>
                <w:rFonts w:cs="Times New Roman"/>
                <w:sz w:val="24"/>
                <w:szCs w:val="24"/>
              </w:rPr>
              <w:t xml:space="preserve">inanțelor </w:t>
            </w:r>
            <w:r w:rsidRPr="0041654C">
              <w:rPr>
                <w:rFonts w:cs="Times New Roman"/>
                <w:sz w:val="24"/>
                <w:szCs w:val="24"/>
              </w:rPr>
              <w:t>P</w:t>
            </w:r>
            <w:r w:rsidR="004345A3">
              <w:rPr>
                <w:rFonts w:cs="Times New Roman"/>
                <w:sz w:val="24"/>
                <w:szCs w:val="24"/>
              </w:rPr>
              <w:t>ublice</w:t>
            </w:r>
            <w:r w:rsidRPr="0041654C">
              <w:rPr>
                <w:rFonts w:cs="Times New Roman"/>
                <w:sz w:val="24"/>
                <w:szCs w:val="24"/>
              </w:rPr>
              <w:t>,</w:t>
            </w:r>
            <w:r w:rsidRPr="0041654C">
              <w:rPr>
                <w:rFonts w:eastAsia="Times New Roman" w:cs="Times New Roman"/>
                <w:sz w:val="24"/>
                <w:szCs w:val="24"/>
              </w:rPr>
              <w:t xml:space="preserve"> </w:t>
            </w:r>
            <w:r w:rsidRPr="0041654C">
              <w:rPr>
                <w:rFonts w:cs="Times New Roman"/>
                <w:sz w:val="24"/>
                <w:szCs w:val="24"/>
              </w:rPr>
              <w:t xml:space="preserve">în contextul reglementării de către ASF a </w:t>
            </w:r>
            <w:r w:rsidRPr="0041654C">
              <w:rPr>
                <w:rFonts w:eastAsia="Times New Roman" w:cs="Times New Roman"/>
                <w:sz w:val="24"/>
                <w:szCs w:val="24"/>
              </w:rPr>
              <w:t xml:space="preserve">înfiinţării şi funcţionării cluburilor de investiții, </w:t>
            </w:r>
            <w:r w:rsidRPr="0041654C">
              <w:rPr>
                <w:rFonts w:cs="Times New Roman"/>
                <w:sz w:val="24"/>
                <w:szCs w:val="24"/>
              </w:rPr>
              <w:t>în vederea identificării posibilității a</w:t>
            </w:r>
            <w:r w:rsidRPr="0041654C">
              <w:rPr>
                <w:rFonts w:eastAsia="Times New Roman" w:cs="Times New Roman"/>
                <w:sz w:val="24"/>
                <w:szCs w:val="24"/>
              </w:rPr>
              <w:t>cord</w:t>
            </w:r>
            <w:r w:rsidRPr="0041654C">
              <w:rPr>
                <w:rFonts w:cs="Times New Roman"/>
                <w:sz w:val="24"/>
                <w:szCs w:val="24"/>
              </w:rPr>
              <w:t xml:space="preserve">ării de </w:t>
            </w:r>
            <w:r w:rsidRPr="0041654C">
              <w:rPr>
                <w:rFonts w:eastAsia="Times New Roman" w:cs="Times New Roman"/>
                <w:sz w:val="24"/>
                <w:szCs w:val="24"/>
              </w:rPr>
              <w:t>facilităţi fiscale cluburilor de inves</w:t>
            </w:r>
            <w:r w:rsidR="004746DE">
              <w:rPr>
                <w:rFonts w:eastAsia="Times New Roman" w:cs="Times New Roman"/>
                <w:sz w:val="24"/>
                <w:szCs w:val="24"/>
              </w:rPr>
              <w:t>tiţii şi/sau membrilor acestora</w:t>
            </w:r>
          </w:p>
          <w:p w:rsidR="00E308C0" w:rsidRDefault="00E308C0" w:rsidP="00F17E23">
            <w:pPr>
              <w:spacing w:after="120"/>
              <w:jc w:val="both"/>
              <w:rPr>
                <w:rFonts w:cs="Times New Roman"/>
                <w:sz w:val="24"/>
                <w:szCs w:val="24"/>
              </w:rPr>
            </w:pPr>
          </w:p>
          <w:p w:rsidR="009F1CB2" w:rsidRPr="0041654C" w:rsidRDefault="009F1CB2" w:rsidP="00F17E23">
            <w:pPr>
              <w:spacing w:after="120"/>
              <w:jc w:val="both"/>
              <w:rPr>
                <w:rFonts w:cs="Times New Roman"/>
                <w:sz w:val="24"/>
                <w:szCs w:val="24"/>
              </w:rPr>
            </w:pPr>
          </w:p>
          <w:p w:rsidR="008D7836" w:rsidRPr="00E308C0" w:rsidRDefault="008D7836" w:rsidP="00E308C0">
            <w:pPr>
              <w:pStyle w:val="Listparagraf"/>
              <w:numPr>
                <w:ilvl w:val="0"/>
                <w:numId w:val="9"/>
              </w:numPr>
              <w:rPr>
                <w:rFonts w:cs="Times New Roman"/>
                <w:sz w:val="24"/>
                <w:szCs w:val="24"/>
              </w:rPr>
            </w:pPr>
            <w:r w:rsidRPr="00E308C0">
              <w:rPr>
                <w:rFonts w:cs="Times New Roman"/>
                <w:sz w:val="24"/>
                <w:szCs w:val="24"/>
              </w:rPr>
              <w:t>Modificarea Regulamentului nr.7/2006</w:t>
            </w:r>
          </w:p>
          <w:p w:rsidR="008D7836" w:rsidRPr="0041654C" w:rsidRDefault="008D7836">
            <w:pPr>
              <w:rPr>
                <w:rFonts w:cs="Times New Roman"/>
              </w:rPr>
            </w:pPr>
          </w:p>
          <w:p w:rsidR="008D7836" w:rsidRPr="0041654C" w:rsidRDefault="008D7836">
            <w:pPr>
              <w:rPr>
                <w:rFonts w:cs="Times New Roman"/>
              </w:rPr>
            </w:pPr>
          </w:p>
          <w:p w:rsidR="008D7836" w:rsidRPr="0041654C" w:rsidRDefault="008D7836" w:rsidP="0000776E">
            <w:pPr>
              <w:jc w:val="both"/>
              <w:rPr>
                <w:rFonts w:cs="Times New Roman"/>
                <w:color w:val="FF0000"/>
              </w:rPr>
            </w:pPr>
          </w:p>
          <w:p w:rsidR="008D7836" w:rsidRDefault="008D7836" w:rsidP="00867460">
            <w:pPr>
              <w:jc w:val="both"/>
              <w:rPr>
                <w:rFonts w:cs="Times New Roman"/>
                <w:color w:val="FF0000"/>
              </w:rPr>
            </w:pPr>
          </w:p>
          <w:p w:rsidR="008D7836" w:rsidRDefault="008D7836" w:rsidP="00E308C0">
            <w:pPr>
              <w:pStyle w:val="Listparagraf"/>
              <w:numPr>
                <w:ilvl w:val="0"/>
                <w:numId w:val="9"/>
              </w:numPr>
              <w:jc w:val="both"/>
              <w:rPr>
                <w:rFonts w:cs="Times New Roman"/>
                <w:sz w:val="24"/>
                <w:szCs w:val="24"/>
              </w:rPr>
            </w:pPr>
            <w:r w:rsidRPr="00E308C0">
              <w:rPr>
                <w:rFonts w:cs="Times New Roman"/>
                <w:sz w:val="24"/>
                <w:szCs w:val="24"/>
              </w:rPr>
              <w:t>Analizarea posibilității și oportunității instituirii unui regim de facilități acordate emitenților de tipul IMM-urilor (întreprinderi mici și mijlocii)</w:t>
            </w:r>
          </w:p>
          <w:p w:rsidR="00E308C0" w:rsidRPr="00E308C0" w:rsidRDefault="00E308C0" w:rsidP="00E308C0">
            <w:pPr>
              <w:ind w:left="90"/>
              <w:jc w:val="both"/>
              <w:rPr>
                <w:rFonts w:cs="Times New Roman"/>
                <w:sz w:val="24"/>
                <w:szCs w:val="24"/>
              </w:rPr>
            </w:pPr>
          </w:p>
        </w:tc>
        <w:tc>
          <w:tcPr>
            <w:tcW w:w="3150" w:type="dxa"/>
          </w:tcPr>
          <w:p w:rsidR="008D7836" w:rsidRPr="0041654C" w:rsidRDefault="008D7836">
            <w:pPr>
              <w:rPr>
                <w:rFonts w:cs="Times New Roman"/>
              </w:rPr>
            </w:pPr>
          </w:p>
          <w:p w:rsidR="008D7836" w:rsidRPr="0041654C" w:rsidRDefault="008D7836">
            <w:pPr>
              <w:rPr>
                <w:rFonts w:cs="Times New Roman"/>
              </w:rPr>
            </w:pPr>
          </w:p>
          <w:p w:rsidR="008D7836" w:rsidRPr="0041654C" w:rsidRDefault="008D7836">
            <w:pPr>
              <w:rPr>
                <w:rFonts w:cs="Times New Roman"/>
              </w:rPr>
            </w:pPr>
          </w:p>
          <w:p w:rsidR="008D7836" w:rsidRPr="0041654C" w:rsidRDefault="008D7836">
            <w:pPr>
              <w:rPr>
                <w:rFonts w:cs="Times New Roman"/>
              </w:rPr>
            </w:pPr>
          </w:p>
          <w:p w:rsidR="008D7836" w:rsidRPr="0041654C" w:rsidRDefault="008D7836">
            <w:pPr>
              <w:rPr>
                <w:rFonts w:cs="Times New Roman"/>
              </w:rPr>
            </w:pPr>
          </w:p>
          <w:p w:rsidR="008D7836" w:rsidRDefault="008D7836">
            <w:pPr>
              <w:rPr>
                <w:rFonts w:cs="Times New Roman"/>
              </w:rPr>
            </w:pPr>
          </w:p>
          <w:p w:rsidR="00AC051F" w:rsidRPr="0041654C" w:rsidRDefault="00AC051F">
            <w:pPr>
              <w:rPr>
                <w:rFonts w:cs="Times New Roman"/>
              </w:rPr>
            </w:pPr>
          </w:p>
          <w:p w:rsidR="008D7836" w:rsidRPr="0041654C" w:rsidRDefault="008D7836">
            <w:pPr>
              <w:rPr>
                <w:rFonts w:cs="Times New Roman"/>
              </w:rPr>
            </w:pPr>
          </w:p>
          <w:p w:rsidR="008D7836" w:rsidRPr="00AD422E" w:rsidRDefault="008D7836" w:rsidP="008C7E4F">
            <w:pPr>
              <w:jc w:val="center"/>
              <w:rPr>
                <w:rFonts w:cs="Times New Roman"/>
                <w:sz w:val="24"/>
                <w:szCs w:val="24"/>
              </w:rPr>
            </w:pPr>
            <w:r w:rsidRPr="00AD422E">
              <w:rPr>
                <w:rFonts w:cs="Times New Roman"/>
                <w:sz w:val="24"/>
                <w:szCs w:val="24"/>
              </w:rPr>
              <w:t>Semestrul II 2015</w:t>
            </w: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Default="008D7836" w:rsidP="008C7E4F">
            <w:pPr>
              <w:rPr>
                <w:rFonts w:cs="Times New Roman"/>
              </w:rPr>
            </w:pPr>
          </w:p>
          <w:p w:rsidR="00056608" w:rsidRDefault="00056608" w:rsidP="00AC051F">
            <w:pPr>
              <w:rPr>
                <w:rFonts w:cs="Times New Roman"/>
                <w:sz w:val="24"/>
                <w:szCs w:val="24"/>
              </w:rPr>
            </w:pPr>
          </w:p>
          <w:p w:rsidR="008D7836" w:rsidRPr="0041654C" w:rsidRDefault="008D7836" w:rsidP="00056608">
            <w:pPr>
              <w:jc w:val="center"/>
              <w:rPr>
                <w:rFonts w:cs="Times New Roman"/>
                <w:sz w:val="24"/>
                <w:szCs w:val="24"/>
              </w:rPr>
            </w:pPr>
            <w:r w:rsidRPr="0041654C">
              <w:rPr>
                <w:rFonts w:cs="Times New Roman"/>
                <w:sz w:val="24"/>
                <w:szCs w:val="24"/>
              </w:rPr>
              <w:t>Noiembrie 2014</w:t>
            </w: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Default="008D7836" w:rsidP="008C7E4F">
            <w:pPr>
              <w:rPr>
                <w:rFonts w:cs="Times New Roman"/>
              </w:rPr>
            </w:pPr>
          </w:p>
          <w:p w:rsidR="00AD422E" w:rsidRPr="0041654C" w:rsidRDefault="00AD422E" w:rsidP="008C7E4F">
            <w:pPr>
              <w:jc w:val="center"/>
              <w:rPr>
                <w:rFonts w:cs="Times New Roman"/>
              </w:rPr>
            </w:pPr>
          </w:p>
          <w:p w:rsidR="008D7836" w:rsidRPr="0041654C" w:rsidRDefault="008D7836" w:rsidP="008C7E4F">
            <w:pPr>
              <w:jc w:val="center"/>
              <w:rPr>
                <w:rFonts w:cs="Times New Roman"/>
                <w:sz w:val="24"/>
                <w:szCs w:val="24"/>
              </w:rPr>
            </w:pPr>
            <w:r w:rsidRPr="0041654C">
              <w:rPr>
                <w:rFonts w:cs="Times New Roman"/>
                <w:sz w:val="24"/>
                <w:szCs w:val="24"/>
              </w:rPr>
              <w:t>Semestrul II 2015</w:t>
            </w: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Default="008D7836" w:rsidP="008C7E4F">
            <w:pPr>
              <w:rPr>
                <w:rFonts w:cs="Times New Roman"/>
              </w:rPr>
            </w:pPr>
          </w:p>
          <w:p w:rsidR="00AC051F" w:rsidRPr="0041654C" w:rsidRDefault="00AC051F" w:rsidP="008C7E4F">
            <w:pPr>
              <w:rPr>
                <w:rFonts w:cs="Times New Roman"/>
              </w:rPr>
            </w:pPr>
          </w:p>
          <w:p w:rsidR="008D7836" w:rsidRPr="0041654C" w:rsidRDefault="008D7836" w:rsidP="008C7E4F">
            <w:pPr>
              <w:jc w:val="center"/>
              <w:rPr>
                <w:rFonts w:cs="Times New Roman"/>
                <w:sz w:val="24"/>
                <w:szCs w:val="24"/>
              </w:rPr>
            </w:pPr>
            <w:r w:rsidRPr="0041654C">
              <w:rPr>
                <w:rFonts w:cs="Times New Roman"/>
                <w:sz w:val="24"/>
                <w:szCs w:val="24"/>
              </w:rPr>
              <w:t>Semestrul II 2015</w:t>
            </w: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41654C" w:rsidRDefault="008D7836" w:rsidP="008C7E4F">
            <w:pPr>
              <w:jc w:val="center"/>
              <w:rPr>
                <w:rFonts w:cs="Times New Roman"/>
                <w:sz w:val="24"/>
                <w:szCs w:val="24"/>
              </w:rPr>
            </w:pPr>
            <w:r w:rsidRPr="0041654C">
              <w:rPr>
                <w:rFonts w:cs="Times New Roman"/>
                <w:sz w:val="24"/>
                <w:szCs w:val="24"/>
              </w:rPr>
              <w:lastRenderedPageBreak/>
              <w:t>Semestrul II 2015</w:t>
            </w:r>
          </w:p>
          <w:p w:rsidR="008D7836" w:rsidRPr="0041654C" w:rsidRDefault="008D7836" w:rsidP="00185D52">
            <w:pPr>
              <w:jc w:val="center"/>
              <w:rPr>
                <w:rFonts w:cs="Times New Roman"/>
              </w:rPr>
            </w:pPr>
          </w:p>
          <w:p w:rsidR="008D7836" w:rsidRPr="0041654C" w:rsidRDefault="008D7836" w:rsidP="00185D52">
            <w:pPr>
              <w:jc w:val="center"/>
              <w:rPr>
                <w:rFonts w:cs="Times New Roman"/>
              </w:rPr>
            </w:pPr>
          </w:p>
          <w:p w:rsidR="008D7836" w:rsidRPr="0041654C" w:rsidRDefault="008D7836" w:rsidP="00185D52">
            <w:pPr>
              <w:jc w:val="center"/>
              <w:rPr>
                <w:rFonts w:cs="Times New Roman"/>
              </w:rPr>
            </w:pPr>
          </w:p>
          <w:p w:rsidR="008D7836" w:rsidRPr="0041654C" w:rsidRDefault="008D7836" w:rsidP="00185D52">
            <w:pPr>
              <w:jc w:val="center"/>
              <w:rPr>
                <w:rFonts w:cs="Times New Roman"/>
              </w:rPr>
            </w:pPr>
          </w:p>
          <w:p w:rsidR="008D7836" w:rsidRDefault="008D7836" w:rsidP="00185D52">
            <w:pPr>
              <w:jc w:val="center"/>
              <w:rPr>
                <w:rFonts w:cs="Times New Roman"/>
              </w:rPr>
            </w:pPr>
          </w:p>
          <w:p w:rsidR="009F1CB2" w:rsidRDefault="009F1CB2" w:rsidP="00185D52">
            <w:pPr>
              <w:jc w:val="center"/>
              <w:rPr>
                <w:rFonts w:cs="Times New Roman"/>
              </w:rPr>
            </w:pPr>
          </w:p>
          <w:p w:rsidR="008D7836" w:rsidRPr="0041654C" w:rsidRDefault="008D7836" w:rsidP="00185D52">
            <w:pPr>
              <w:rPr>
                <w:rFonts w:cs="Times New Roman"/>
              </w:rPr>
            </w:pPr>
          </w:p>
          <w:p w:rsidR="008D7836" w:rsidRPr="0041654C" w:rsidRDefault="008D7836" w:rsidP="008D1972">
            <w:pPr>
              <w:jc w:val="both"/>
              <w:rPr>
                <w:rFonts w:cs="Times New Roman"/>
                <w:sz w:val="24"/>
                <w:szCs w:val="24"/>
              </w:rPr>
            </w:pPr>
            <w:r w:rsidRPr="0041654C">
              <w:rPr>
                <w:rFonts w:cs="Times New Roman"/>
                <w:sz w:val="24"/>
                <w:szCs w:val="24"/>
              </w:rPr>
              <w:t>60 de zile de la intrarea în vigoare a actului normativ primar de transpunere a Directivei 61/2011 (DAFIA)</w:t>
            </w:r>
          </w:p>
          <w:p w:rsidR="008D7836" w:rsidRPr="0041654C" w:rsidRDefault="008D7836" w:rsidP="008D1972">
            <w:pPr>
              <w:jc w:val="both"/>
              <w:rPr>
                <w:rFonts w:cs="Times New Roman"/>
                <w:sz w:val="24"/>
                <w:szCs w:val="24"/>
              </w:rPr>
            </w:pPr>
          </w:p>
          <w:p w:rsidR="008D7836" w:rsidRPr="0041654C" w:rsidRDefault="008D7836">
            <w:pPr>
              <w:rPr>
                <w:rFonts w:cs="Times New Roman"/>
                <w:sz w:val="24"/>
                <w:szCs w:val="24"/>
              </w:rPr>
            </w:pPr>
          </w:p>
          <w:p w:rsidR="008D7836" w:rsidRDefault="008D7836">
            <w:pPr>
              <w:rPr>
                <w:rFonts w:cs="Times New Roman"/>
                <w:sz w:val="24"/>
                <w:szCs w:val="24"/>
              </w:rPr>
            </w:pPr>
          </w:p>
          <w:p w:rsidR="009F1CB2" w:rsidRPr="0041654C" w:rsidRDefault="009F1CB2">
            <w:pPr>
              <w:rPr>
                <w:rFonts w:cs="Times New Roman"/>
                <w:sz w:val="24"/>
                <w:szCs w:val="24"/>
              </w:rPr>
            </w:pPr>
          </w:p>
          <w:p w:rsidR="008D7836" w:rsidRPr="0041654C" w:rsidRDefault="008D7836" w:rsidP="008C7E4F">
            <w:pPr>
              <w:jc w:val="center"/>
              <w:rPr>
                <w:rFonts w:cs="Times New Roman"/>
                <w:sz w:val="24"/>
                <w:szCs w:val="24"/>
              </w:rPr>
            </w:pPr>
            <w:r w:rsidRPr="0041654C">
              <w:rPr>
                <w:rFonts w:cs="Times New Roman"/>
                <w:sz w:val="24"/>
                <w:szCs w:val="24"/>
              </w:rPr>
              <w:t>Decembrie 2014</w:t>
            </w: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r w:rsidRPr="0041654C">
              <w:rPr>
                <w:rFonts w:cs="Times New Roman"/>
                <w:sz w:val="24"/>
                <w:szCs w:val="24"/>
              </w:rPr>
              <w:t>Ianuarie 2015</w:t>
            </w: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Default="008D7836" w:rsidP="008C7E4F">
            <w:pPr>
              <w:jc w:val="center"/>
              <w:rPr>
                <w:rFonts w:cs="Times New Roman"/>
                <w:sz w:val="24"/>
                <w:szCs w:val="24"/>
              </w:rPr>
            </w:pPr>
          </w:p>
          <w:p w:rsidR="009F1CB2" w:rsidRPr="0041654C" w:rsidRDefault="009F1CB2" w:rsidP="008C7E4F">
            <w:pPr>
              <w:jc w:val="center"/>
              <w:rPr>
                <w:rFonts w:cs="Times New Roman"/>
                <w:sz w:val="24"/>
                <w:szCs w:val="24"/>
              </w:rPr>
            </w:pPr>
          </w:p>
          <w:p w:rsidR="00E308C0" w:rsidRDefault="00E308C0" w:rsidP="008C7E4F">
            <w:pPr>
              <w:jc w:val="center"/>
              <w:rPr>
                <w:rFonts w:cs="Times New Roman"/>
                <w:sz w:val="24"/>
                <w:szCs w:val="24"/>
              </w:rPr>
            </w:pPr>
          </w:p>
          <w:p w:rsidR="008D7836"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r w:rsidRPr="0041654C">
              <w:rPr>
                <w:rFonts w:cs="Times New Roman"/>
                <w:sz w:val="24"/>
                <w:szCs w:val="24"/>
              </w:rPr>
              <w:t>August 2014</w:t>
            </w: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p>
          <w:p w:rsidR="008D7836" w:rsidRPr="0041654C" w:rsidRDefault="008D7836" w:rsidP="008C7E4F">
            <w:pPr>
              <w:jc w:val="center"/>
              <w:rPr>
                <w:rFonts w:cs="Times New Roman"/>
                <w:sz w:val="24"/>
                <w:szCs w:val="24"/>
              </w:rPr>
            </w:pPr>
            <w:r w:rsidRPr="0041654C">
              <w:rPr>
                <w:rFonts w:cs="Times New Roman"/>
                <w:sz w:val="24"/>
                <w:szCs w:val="24"/>
              </w:rPr>
              <w:t>Semestrul II 2015</w:t>
            </w:r>
          </w:p>
        </w:tc>
      </w:tr>
      <w:tr w:rsidR="008D7836" w:rsidRPr="0041654C" w:rsidTr="00B44F64">
        <w:tc>
          <w:tcPr>
            <w:tcW w:w="706" w:type="dxa"/>
          </w:tcPr>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r w:rsidRPr="0041654C">
              <w:rPr>
                <w:rFonts w:cs="Times New Roman"/>
                <w:b/>
              </w:rPr>
              <w:t>5</w:t>
            </w:r>
          </w:p>
        </w:tc>
        <w:tc>
          <w:tcPr>
            <w:tcW w:w="4244" w:type="dxa"/>
          </w:tcPr>
          <w:p w:rsidR="008D7836" w:rsidRPr="0041654C" w:rsidRDefault="008D7836">
            <w:pPr>
              <w:rPr>
                <w:rFonts w:eastAsia="Times New Roman" w:cs="Times New Roman"/>
                <w:b/>
                <w:sz w:val="24"/>
                <w:szCs w:val="24"/>
              </w:rPr>
            </w:pPr>
          </w:p>
          <w:p w:rsidR="008D7836" w:rsidRPr="0041654C" w:rsidRDefault="008D7836" w:rsidP="008B2BE8">
            <w:pPr>
              <w:jc w:val="both"/>
              <w:rPr>
                <w:rFonts w:eastAsia="Times New Roman" w:cs="Times New Roman"/>
                <w:b/>
                <w:sz w:val="24"/>
                <w:szCs w:val="24"/>
              </w:rPr>
            </w:pPr>
            <w:r w:rsidRPr="0041654C">
              <w:rPr>
                <w:rFonts w:eastAsia="Times New Roman" w:cs="Times New Roman"/>
                <w:b/>
                <w:sz w:val="24"/>
                <w:szCs w:val="24"/>
              </w:rPr>
              <w:t>Creșterea vizibilității companiilor românești listate pe piața de capital prin posibilitatea listării indirecte a acestora și pe alte piețe de capital.</w:t>
            </w:r>
          </w:p>
          <w:p w:rsidR="008D7836" w:rsidRPr="0041654C" w:rsidRDefault="008D7836">
            <w:pPr>
              <w:rPr>
                <w:rFonts w:eastAsia="Times New Roman" w:cs="Times New Roman"/>
                <w:b/>
                <w:sz w:val="24"/>
                <w:szCs w:val="24"/>
              </w:rPr>
            </w:pPr>
          </w:p>
        </w:tc>
        <w:tc>
          <w:tcPr>
            <w:tcW w:w="7380" w:type="dxa"/>
          </w:tcPr>
          <w:p w:rsidR="008D7836" w:rsidRPr="0041654C" w:rsidRDefault="008D7836" w:rsidP="001B7DE0">
            <w:pPr>
              <w:jc w:val="both"/>
              <w:rPr>
                <w:rFonts w:eastAsia="Times New Roman" w:cs="Times New Roman"/>
                <w:sz w:val="24"/>
                <w:szCs w:val="24"/>
              </w:rPr>
            </w:pPr>
          </w:p>
          <w:p w:rsidR="008D7836" w:rsidRPr="0041654C" w:rsidRDefault="008D7836" w:rsidP="008644FE">
            <w:pPr>
              <w:jc w:val="both"/>
              <w:rPr>
                <w:rFonts w:cs="Times New Roman"/>
              </w:rPr>
            </w:pPr>
            <w:r w:rsidRPr="0041654C">
              <w:rPr>
                <w:rFonts w:eastAsia="Times New Roman" w:cs="Times New Roman"/>
                <w:sz w:val="24"/>
                <w:szCs w:val="24"/>
              </w:rPr>
              <w:t>Analizarea posibilității extinderii emiterii de certificate de depozit în cazul tuturor emitenților listați pe piața de capital românească prin modificarea în acest sens a Regulamentului ASF nr.4/2013</w:t>
            </w:r>
          </w:p>
        </w:tc>
        <w:tc>
          <w:tcPr>
            <w:tcW w:w="3150" w:type="dxa"/>
          </w:tcPr>
          <w:p w:rsidR="008D7836" w:rsidRDefault="008D7836" w:rsidP="008C7E4F">
            <w:pPr>
              <w:jc w:val="center"/>
              <w:rPr>
                <w:rFonts w:cs="Times New Roman"/>
              </w:rPr>
            </w:pPr>
          </w:p>
          <w:p w:rsidR="00716533" w:rsidRPr="0041654C" w:rsidRDefault="00716533" w:rsidP="008C7E4F">
            <w:pPr>
              <w:jc w:val="center"/>
              <w:rPr>
                <w:rFonts w:cs="Times New Roman"/>
              </w:rPr>
            </w:pPr>
          </w:p>
          <w:p w:rsidR="008D7836" w:rsidRPr="00716533" w:rsidRDefault="008D7836" w:rsidP="008C7E4F">
            <w:pPr>
              <w:jc w:val="center"/>
              <w:rPr>
                <w:rFonts w:cs="Times New Roman"/>
                <w:sz w:val="24"/>
                <w:szCs w:val="24"/>
              </w:rPr>
            </w:pPr>
            <w:r w:rsidRPr="00716533">
              <w:rPr>
                <w:rFonts w:cs="Times New Roman"/>
                <w:sz w:val="24"/>
                <w:szCs w:val="24"/>
              </w:rPr>
              <w:t>Octombrie 2014</w:t>
            </w:r>
          </w:p>
        </w:tc>
      </w:tr>
      <w:tr w:rsidR="008D7836" w:rsidRPr="0041654C" w:rsidTr="00B44F64">
        <w:tc>
          <w:tcPr>
            <w:tcW w:w="706" w:type="dxa"/>
          </w:tcPr>
          <w:p w:rsidR="00716533" w:rsidRDefault="00716533" w:rsidP="00A42D48">
            <w:pPr>
              <w:jc w:val="center"/>
              <w:rPr>
                <w:rFonts w:cs="Times New Roman"/>
                <w:b/>
              </w:rPr>
            </w:pPr>
          </w:p>
          <w:p w:rsidR="008D7836" w:rsidRPr="0041654C" w:rsidRDefault="008D7836" w:rsidP="00A42D48">
            <w:pPr>
              <w:jc w:val="center"/>
              <w:rPr>
                <w:rFonts w:cs="Times New Roman"/>
                <w:b/>
              </w:rPr>
            </w:pPr>
            <w:r w:rsidRPr="0041654C">
              <w:rPr>
                <w:rFonts w:cs="Times New Roman"/>
                <w:b/>
              </w:rPr>
              <w:t>6</w:t>
            </w:r>
          </w:p>
        </w:tc>
        <w:tc>
          <w:tcPr>
            <w:tcW w:w="4244" w:type="dxa"/>
          </w:tcPr>
          <w:p w:rsidR="008D7836" w:rsidRPr="0041654C" w:rsidRDefault="008D7836" w:rsidP="00CF6346">
            <w:pPr>
              <w:jc w:val="both"/>
              <w:rPr>
                <w:rFonts w:eastAsia="Times New Roman" w:cs="Times New Roman"/>
                <w:b/>
                <w:color w:val="FF0000"/>
                <w:sz w:val="24"/>
                <w:szCs w:val="24"/>
              </w:rPr>
            </w:pPr>
          </w:p>
          <w:p w:rsidR="008D7836" w:rsidRPr="0041654C" w:rsidRDefault="008D7836" w:rsidP="00CF6346">
            <w:pPr>
              <w:jc w:val="both"/>
              <w:rPr>
                <w:rFonts w:eastAsia="Times New Roman" w:cs="Times New Roman"/>
                <w:b/>
                <w:sz w:val="24"/>
                <w:szCs w:val="24"/>
              </w:rPr>
            </w:pPr>
            <w:r w:rsidRPr="0041654C">
              <w:rPr>
                <w:rFonts w:eastAsia="Times New Roman" w:cs="Times New Roman"/>
                <w:b/>
                <w:sz w:val="24"/>
                <w:szCs w:val="24"/>
              </w:rPr>
              <w:t>Clarificarea statutului pieței RASDAQ  și a regimului aplicabil societăților tranzacționate pe această piață</w:t>
            </w:r>
          </w:p>
          <w:p w:rsidR="008D7836" w:rsidRPr="0041654C" w:rsidRDefault="008D7836" w:rsidP="00CF6346">
            <w:pPr>
              <w:jc w:val="both"/>
              <w:rPr>
                <w:rFonts w:eastAsia="Times New Roman" w:cs="Times New Roman"/>
                <w:b/>
                <w:color w:val="FF0000"/>
                <w:sz w:val="24"/>
                <w:szCs w:val="24"/>
              </w:rPr>
            </w:pPr>
          </w:p>
        </w:tc>
        <w:tc>
          <w:tcPr>
            <w:tcW w:w="7380" w:type="dxa"/>
          </w:tcPr>
          <w:p w:rsidR="008D7836" w:rsidRPr="0041654C" w:rsidRDefault="008D7836" w:rsidP="001B7DE0">
            <w:pPr>
              <w:jc w:val="both"/>
              <w:rPr>
                <w:rFonts w:eastAsia="Times New Roman" w:cs="Times New Roman"/>
                <w:color w:val="FF0000"/>
                <w:sz w:val="24"/>
                <w:szCs w:val="24"/>
              </w:rPr>
            </w:pPr>
          </w:p>
          <w:p w:rsidR="008D7836" w:rsidRPr="00D473CF" w:rsidRDefault="008D7836" w:rsidP="00D473CF">
            <w:pPr>
              <w:pStyle w:val="Listparagraf"/>
              <w:numPr>
                <w:ilvl w:val="0"/>
                <w:numId w:val="30"/>
              </w:numPr>
              <w:jc w:val="both"/>
              <w:rPr>
                <w:rFonts w:eastAsia="Times New Roman" w:cs="Times New Roman"/>
                <w:sz w:val="24"/>
                <w:szCs w:val="24"/>
              </w:rPr>
            </w:pPr>
            <w:r w:rsidRPr="00D473CF">
              <w:rPr>
                <w:rFonts w:eastAsia="Times New Roman" w:cs="Times New Roman"/>
                <w:sz w:val="24"/>
                <w:szCs w:val="24"/>
              </w:rPr>
              <w:t>Crearea unui cadru legal sp</w:t>
            </w:r>
            <w:r w:rsidR="00716533" w:rsidRPr="00D473CF">
              <w:rPr>
                <w:rFonts w:eastAsia="Times New Roman" w:cs="Times New Roman"/>
                <w:sz w:val="24"/>
                <w:szCs w:val="24"/>
              </w:rPr>
              <w:t xml:space="preserve">ecial care să abordeze exclusiv </w:t>
            </w:r>
            <w:r w:rsidRPr="00D473CF">
              <w:rPr>
                <w:rFonts w:eastAsia="Times New Roman" w:cs="Times New Roman"/>
                <w:sz w:val="24"/>
                <w:szCs w:val="24"/>
              </w:rPr>
              <w:t>problematica societăților tranzacționate pe piața RASDAQ</w:t>
            </w:r>
          </w:p>
        </w:tc>
        <w:tc>
          <w:tcPr>
            <w:tcW w:w="3150" w:type="dxa"/>
          </w:tcPr>
          <w:p w:rsidR="008D7836" w:rsidRPr="0041654C" w:rsidRDefault="008D7836" w:rsidP="008C7E4F">
            <w:pPr>
              <w:jc w:val="center"/>
              <w:rPr>
                <w:rFonts w:cs="Times New Roman"/>
              </w:rPr>
            </w:pPr>
          </w:p>
          <w:p w:rsidR="008D7836" w:rsidRPr="00716533" w:rsidRDefault="008D7836" w:rsidP="008C7E4F">
            <w:pPr>
              <w:jc w:val="center"/>
              <w:rPr>
                <w:rFonts w:cs="Times New Roman"/>
                <w:sz w:val="24"/>
                <w:szCs w:val="24"/>
              </w:rPr>
            </w:pPr>
            <w:r w:rsidRPr="00716533">
              <w:rPr>
                <w:rFonts w:cs="Times New Roman"/>
                <w:sz w:val="24"/>
                <w:szCs w:val="24"/>
              </w:rPr>
              <w:t>Noiembrie 2014</w:t>
            </w:r>
          </w:p>
        </w:tc>
      </w:tr>
      <w:tr w:rsidR="008D7836" w:rsidRPr="0041654C" w:rsidTr="00B44F64">
        <w:tc>
          <w:tcPr>
            <w:tcW w:w="706" w:type="dxa"/>
          </w:tcPr>
          <w:p w:rsidR="008D7836" w:rsidRPr="0041654C" w:rsidRDefault="008D7836">
            <w:pPr>
              <w:rPr>
                <w:rFonts w:cs="Times New Roman"/>
                <w:b/>
              </w:rPr>
            </w:pPr>
            <w:r w:rsidRPr="0041654C">
              <w:rPr>
                <w:rFonts w:cs="Times New Roman"/>
                <w:b/>
              </w:rPr>
              <w:t xml:space="preserve">   </w:t>
            </w:r>
          </w:p>
          <w:p w:rsidR="008D7836" w:rsidRPr="0041654C" w:rsidRDefault="008D7836">
            <w:pPr>
              <w:rPr>
                <w:rFonts w:cs="Times New Roman"/>
                <w:b/>
              </w:rPr>
            </w:pPr>
          </w:p>
          <w:p w:rsidR="008D7836" w:rsidRPr="0041654C" w:rsidRDefault="008D7836">
            <w:pPr>
              <w:rPr>
                <w:rFonts w:cs="Times New Roman"/>
                <w:b/>
              </w:rPr>
            </w:pPr>
          </w:p>
          <w:p w:rsidR="008D7836" w:rsidRPr="0041654C" w:rsidRDefault="008D7836">
            <w:pPr>
              <w:rPr>
                <w:rFonts w:cs="Times New Roman"/>
                <w:b/>
              </w:rPr>
            </w:pPr>
          </w:p>
          <w:p w:rsidR="008D7836" w:rsidRPr="0041654C" w:rsidRDefault="008D7836" w:rsidP="00A42D48">
            <w:pPr>
              <w:jc w:val="center"/>
              <w:rPr>
                <w:rFonts w:cs="Times New Roman"/>
                <w:b/>
              </w:rPr>
            </w:pPr>
            <w:r w:rsidRPr="0041654C">
              <w:rPr>
                <w:rFonts w:cs="Times New Roman"/>
                <w:b/>
              </w:rPr>
              <w:t>7</w:t>
            </w:r>
          </w:p>
        </w:tc>
        <w:tc>
          <w:tcPr>
            <w:tcW w:w="4244" w:type="dxa"/>
          </w:tcPr>
          <w:p w:rsidR="008D7836" w:rsidRPr="0041654C" w:rsidRDefault="008D7836" w:rsidP="0027599D">
            <w:pPr>
              <w:jc w:val="both"/>
              <w:rPr>
                <w:rFonts w:eastAsia="Times New Roman" w:cs="Times New Roman"/>
                <w:sz w:val="24"/>
                <w:szCs w:val="24"/>
              </w:rPr>
            </w:pPr>
          </w:p>
          <w:p w:rsidR="008D7836" w:rsidRPr="0041654C" w:rsidRDefault="008D7836" w:rsidP="0027599D">
            <w:pPr>
              <w:jc w:val="both"/>
              <w:rPr>
                <w:rFonts w:eastAsia="Times New Roman" w:cs="Times New Roman"/>
                <w:b/>
                <w:sz w:val="24"/>
                <w:szCs w:val="24"/>
              </w:rPr>
            </w:pPr>
            <w:r w:rsidRPr="0041654C">
              <w:rPr>
                <w:rFonts w:eastAsia="Times New Roman" w:cs="Times New Roman"/>
                <w:b/>
                <w:sz w:val="24"/>
                <w:szCs w:val="24"/>
              </w:rPr>
              <w:t>Creșterea gradului de implementare a principiilor guvernanței corporative la nivelul entităților din piața de capital (emitenți, intermediari, operatori piață, depozitari centrali, etc)</w:t>
            </w:r>
          </w:p>
          <w:p w:rsidR="008D7836" w:rsidRPr="0041654C" w:rsidRDefault="008D7836">
            <w:pPr>
              <w:rPr>
                <w:rFonts w:cs="Times New Roman"/>
              </w:rPr>
            </w:pPr>
          </w:p>
        </w:tc>
        <w:tc>
          <w:tcPr>
            <w:tcW w:w="7380" w:type="dxa"/>
          </w:tcPr>
          <w:p w:rsidR="008D7836" w:rsidRPr="0041654C" w:rsidRDefault="008D7836" w:rsidP="001B7DE0">
            <w:pPr>
              <w:pStyle w:val="Listparagraf"/>
              <w:ind w:left="219"/>
              <w:jc w:val="both"/>
              <w:rPr>
                <w:rFonts w:eastAsia="Times New Roman" w:cs="Times New Roman"/>
                <w:sz w:val="24"/>
                <w:szCs w:val="24"/>
              </w:rPr>
            </w:pPr>
          </w:p>
          <w:p w:rsidR="008D7836" w:rsidRPr="0041654C" w:rsidRDefault="008D7836" w:rsidP="00362621">
            <w:pPr>
              <w:pStyle w:val="Listparagraf"/>
              <w:numPr>
                <w:ilvl w:val="0"/>
                <w:numId w:val="4"/>
              </w:numPr>
              <w:ind w:left="34" w:firstLine="0"/>
              <w:jc w:val="both"/>
              <w:rPr>
                <w:rFonts w:eastAsia="Times New Roman" w:cs="Times New Roman"/>
                <w:sz w:val="24"/>
                <w:szCs w:val="24"/>
              </w:rPr>
            </w:pPr>
            <w:r w:rsidRPr="0041654C">
              <w:rPr>
                <w:rFonts w:eastAsia="Times New Roman" w:cs="Times New Roman"/>
                <w:sz w:val="24"/>
                <w:szCs w:val="24"/>
              </w:rPr>
              <w:t>Analiza nivelului de implementare a principiilor guvernanței corporative la n</w:t>
            </w:r>
            <w:r w:rsidR="004746DE">
              <w:rPr>
                <w:rFonts w:eastAsia="Times New Roman" w:cs="Times New Roman"/>
                <w:sz w:val="24"/>
                <w:szCs w:val="24"/>
              </w:rPr>
              <w:t>ivelul fiecărui tip de entitate</w:t>
            </w:r>
          </w:p>
          <w:p w:rsidR="008D7836" w:rsidRPr="0041654C" w:rsidRDefault="008D7836" w:rsidP="00362621">
            <w:pPr>
              <w:pStyle w:val="Listparagraf"/>
              <w:ind w:left="34"/>
              <w:jc w:val="both"/>
              <w:rPr>
                <w:rFonts w:eastAsia="Times New Roman" w:cs="Times New Roman"/>
                <w:sz w:val="24"/>
                <w:szCs w:val="24"/>
              </w:rPr>
            </w:pPr>
          </w:p>
          <w:p w:rsidR="008D7836" w:rsidRPr="0041654C" w:rsidRDefault="008D7836" w:rsidP="00A468A3">
            <w:pPr>
              <w:pStyle w:val="Listparagraf"/>
              <w:numPr>
                <w:ilvl w:val="0"/>
                <w:numId w:val="4"/>
              </w:numPr>
              <w:ind w:left="0" w:hanging="64"/>
              <w:jc w:val="both"/>
              <w:rPr>
                <w:rFonts w:eastAsia="Times New Roman" w:cs="Times New Roman"/>
                <w:sz w:val="24"/>
                <w:szCs w:val="24"/>
              </w:rPr>
            </w:pPr>
            <w:r w:rsidRPr="0041654C">
              <w:rPr>
                <w:rFonts w:eastAsia="Times New Roman" w:cs="Times New Roman"/>
                <w:sz w:val="24"/>
                <w:szCs w:val="24"/>
              </w:rPr>
              <w:t xml:space="preserve"> Modificarea regulamentelor relevante compunând legislația emisă de CNVM/ASF pe baza findings-urilor analizei de mai sus</w:t>
            </w:r>
          </w:p>
        </w:tc>
        <w:tc>
          <w:tcPr>
            <w:tcW w:w="3150" w:type="dxa"/>
          </w:tcPr>
          <w:p w:rsidR="008D7836" w:rsidRPr="0041654C" w:rsidRDefault="008D7836">
            <w:pPr>
              <w:rPr>
                <w:rFonts w:cs="Times New Roman"/>
              </w:rPr>
            </w:pPr>
          </w:p>
          <w:p w:rsidR="008D7836" w:rsidRPr="00716533" w:rsidRDefault="008D7836" w:rsidP="008C7E4F">
            <w:pPr>
              <w:tabs>
                <w:tab w:val="left" w:pos="651"/>
                <w:tab w:val="center" w:pos="1467"/>
              </w:tabs>
              <w:jc w:val="center"/>
              <w:rPr>
                <w:rFonts w:cs="Times New Roman"/>
                <w:sz w:val="24"/>
                <w:szCs w:val="24"/>
              </w:rPr>
            </w:pPr>
            <w:r w:rsidRPr="00716533">
              <w:rPr>
                <w:rFonts w:cs="Times New Roman"/>
                <w:sz w:val="24"/>
                <w:szCs w:val="24"/>
              </w:rPr>
              <w:t>Semestrul I 2015</w:t>
            </w:r>
          </w:p>
          <w:p w:rsidR="008D7836" w:rsidRPr="0041654C" w:rsidRDefault="008D7836" w:rsidP="008C7E4F">
            <w:pPr>
              <w:jc w:val="center"/>
              <w:rPr>
                <w:rFonts w:cs="Times New Roman"/>
              </w:rPr>
            </w:pPr>
          </w:p>
          <w:p w:rsidR="008D7836" w:rsidRPr="0041654C" w:rsidRDefault="008D7836" w:rsidP="008C7E4F">
            <w:pPr>
              <w:jc w:val="center"/>
              <w:rPr>
                <w:rFonts w:cs="Times New Roman"/>
              </w:rPr>
            </w:pPr>
          </w:p>
          <w:p w:rsidR="008D7836" w:rsidRPr="00716533" w:rsidRDefault="008D7836" w:rsidP="008C7E4F">
            <w:pPr>
              <w:jc w:val="center"/>
              <w:rPr>
                <w:rFonts w:cs="Times New Roman"/>
                <w:sz w:val="24"/>
                <w:szCs w:val="24"/>
              </w:rPr>
            </w:pPr>
            <w:r w:rsidRPr="00716533">
              <w:rPr>
                <w:rFonts w:cs="Times New Roman"/>
                <w:sz w:val="24"/>
                <w:szCs w:val="24"/>
              </w:rPr>
              <w:t>Semestrul II 2015</w:t>
            </w:r>
          </w:p>
        </w:tc>
      </w:tr>
      <w:tr w:rsidR="008D7836" w:rsidRPr="0041654C" w:rsidTr="00B44F64">
        <w:tc>
          <w:tcPr>
            <w:tcW w:w="706" w:type="dxa"/>
          </w:tcPr>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p>
          <w:p w:rsidR="008D7836" w:rsidRPr="0041654C" w:rsidRDefault="008D7836" w:rsidP="00A42D48">
            <w:pPr>
              <w:jc w:val="center"/>
              <w:rPr>
                <w:rFonts w:cs="Times New Roman"/>
                <w:b/>
              </w:rPr>
            </w:pPr>
            <w:r w:rsidRPr="0041654C">
              <w:rPr>
                <w:rFonts w:cs="Times New Roman"/>
                <w:b/>
              </w:rPr>
              <w:t>8</w:t>
            </w:r>
          </w:p>
        </w:tc>
        <w:tc>
          <w:tcPr>
            <w:tcW w:w="4244" w:type="dxa"/>
          </w:tcPr>
          <w:p w:rsidR="008D7836" w:rsidRPr="0041654C" w:rsidRDefault="008D7836" w:rsidP="0027599D">
            <w:pPr>
              <w:jc w:val="both"/>
              <w:rPr>
                <w:rFonts w:eastAsia="Times New Roman" w:cs="Times New Roman"/>
                <w:b/>
                <w:sz w:val="24"/>
                <w:szCs w:val="24"/>
              </w:rPr>
            </w:pPr>
          </w:p>
          <w:p w:rsidR="008D7836" w:rsidRPr="0041654C" w:rsidRDefault="008D7836" w:rsidP="0027599D">
            <w:pPr>
              <w:jc w:val="both"/>
              <w:rPr>
                <w:rFonts w:eastAsia="Times New Roman" w:cs="Times New Roman"/>
                <w:b/>
                <w:sz w:val="24"/>
                <w:szCs w:val="24"/>
              </w:rPr>
            </w:pPr>
            <w:r w:rsidRPr="0041654C">
              <w:rPr>
                <w:rFonts w:eastAsia="Times New Roman" w:cs="Times New Roman"/>
                <w:b/>
                <w:sz w:val="24"/>
                <w:szCs w:val="24"/>
              </w:rPr>
              <w:t xml:space="preserve">Îmbunătățirea sistemului contabil </w:t>
            </w:r>
            <w:r w:rsidRPr="0041654C">
              <w:rPr>
                <w:rFonts w:cs="Times New Roman"/>
                <w:b/>
                <w:sz w:val="24"/>
                <w:szCs w:val="24"/>
              </w:rPr>
              <w:t xml:space="preserve">al entităților autorizate, reglementate și supravegheate de ASF – SIIF- </w:t>
            </w:r>
            <w:r w:rsidRPr="0041654C">
              <w:rPr>
                <w:rFonts w:eastAsia="Times New Roman" w:cs="Times New Roman"/>
                <w:b/>
                <w:sz w:val="24"/>
                <w:szCs w:val="24"/>
              </w:rPr>
              <w:t xml:space="preserve">prin </w:t>
            </w:r>
            <w:r w:rsidRPr="0041654C">
              <w:rPr>
                <w:rFonts w:eastAsia="Times New Roman" w:cs="Times New Roman"/>
                <w:b/>
                <w:sz w:val="24"/>
                <w:szCs w:val="24"/>
              </w:rPr>
              <w:lastRenderedPageBreak/>
              <w:t>alinierea la Standardele Internaţionale de Raportare Financiară (IFRS - International  Financial Reporting Standards)</w:t>
            </w:r>
          </w:p>
          <w:p w:rsidR="008D7836" w:rsidRPr="0041654C" w:rsidRDefault="008D7836">
            <w:pPr>
              <w:rPr>
                <w:rFonts w:cs="Times New Roman"/>
              </w:rPr>
            </w:pPr>
          </w:p>
        </w:tc>
        <w:tc>
          <w:tcPr>
            <w:tcW w:w="7380" w:type="dxa"/>
          </w:tcPr>
          <w:p w:rsidR="008D7836" w:rsidRPr="0041654C" w:rsidRDefault="008D7836" w:rsidP="004015F4">
            <w:pPr>
              <w:pStyle w:val="Listparagraf"/>
              <w:ind w:left="0"/>
              <w:jc w:val="both"/>
              <w:rPr>
                <w:rFonts w:eastAsia="Times New Roman" w:cs="Times New Roman"/>
                <w:sz w:val="24"/>
                <w:szCs w:val="24"/>
              </w:rPr>
            </w:pPr>
          </w:p>
          <w:p w:rsidR="008D7836" w:rsidRPr="0041654C" w:rsidRDefault="008D7836" w:rsidP="00362621">
            <w:pPr>
              <w:pStyle w:val="Listparagraf"/>
              <w:numPr>
                <w:ilvl w:val="0"/>
                <w:numId w:val="15"/>
              </w:numPr>
              <w:ind w:left="0" w:firstLine="0"/>
              <w:jc w:val="both"/>
              <w:rPr>
                <w:rFonts w:eastAsia="Times New Roman" w:cs="Times New Roman"/>
                <w:sz w:val="24"/>
                <w:szCs w:val="24"/>
              </w:rPr>
            </w:pPr>
            <w:r w:rsidRPr="0041654C">
              <w:rPr>
                <w:rFonts w:eastAsia="Times New Roman" w:cs="Times New Roman"/>
                <w:sz w:val="24"/>
                <w:szCs w:val="24"/>
              </w:rPr>
              <w:t>Elaborarea unui act normativ care să prevadă obligația aplicării IFRS de către entitățile autorizate, reglementate și supravegheate de ASF – Sectorul Instrumente</w:t>
            </w:r>
            <w:r w:rsidR="004746DE">
              <w:rPr>
                <w:rFonts w:eastAsia="Times New Roman" w:cs="Times New Roman"/>
                <w:sz w:val="24"/>
                <w:szCs w:val="24"/>
              </w:rPr>
              <w:t>lor și Investițiilor Financiare</w:t>
            </w:r>
          </w:p>
          <w:p w:rsidR="008D7836" w:rsidRPr="0041654C" w:rsidRDefault="008D7836" w:rsidP="00476615">
            <w:pPr>
              <w:pStyle w:val="Listparagraf"/>
              <w:ind w:left="0"/>
              <w:jc w:val="both"/>
              <w:rPr>
                <w:rFonts w:eastAsia="Times New Roman" w:cs="Times New Roman"/>
                <w:sz w:val="24"/>
                <w:szCs w:val="24"/>
              </w:rPr>
            </w:pPr>
          </w:p>
          <w:p w:rsidR="008D7836" w:rsidRDefault="008D7836" w:rsidP="00476615">
            <w:pPr>
              <w:pStyle w:val="Listparagraf"/>
              <w:ind w:left="0"/>
              <w:jc w:val="both"/>
              <w:rPr>
                <w:rFonts w:eastAsia="Times New Roman" w:cs="Times New Roman"/>
                <w:sz w:val="24"/>
                <w:szCs w:val="24"/>
              </w:rPr>
            </w:pPr>
          </w:p>
          <w:p w:rsidR="008D7836" w:rsidRPr="0041654C" w:rsidRDefault="008D7836" w:rsidP="00476615">
            <w:pPr>
              <w:pStyle w:val="Listparagraf"/>
              <w:ind w:left="0"/>
              <w:jc w:val="both"/>
              <w:rPr>
                <w:rFonts w:eastAsia="Times New Roman" w:cs="Times New Roman"/>
                <w:sz w:val="24"/>
                <w:szCs w:val="24"/>
              </w:rPr>
            </w:pPr>
          </w:p>
          <w:p w:rsidR="008D7836" w:rsidRPr="0041654C" w:rsidRDefault="008D7836" w:rsidP="00476615">
            <w:pPr>
              <w:pStyle w:val="Listparagraf"/>
              <w:numPr>
                <w:ilvl w:val="0"/>
                <w:numId w:val="15"/>
              </w:numPr>
              <w:ind w:left="0" w:firstLine="0"/>
              <w:jc w:val="both"/>
              <w:rPr>
                <w:rFonts w:eastAsia="Times New Roman" w:cs="Times New Roman"/>
                <w:sz w:val="24"/>
                <w:szCs w:val="24"/>
              </w:rPr>
            </w:pPr>
            <w:r w:rsidRPr="0041654C">
              <w:rPr>
                <w:rFonts w:eastAsia="Times New Roman" w:cs="Times New Roman"/>
                <w:sz w:val="24"/>
                <w:szCs w:val="24"/>
              </w:rPr>
              <w:t>Elaborarea unor reglementări contabile conforme cu IFRS aplicabile entităților autorizate, reglementate și supravegheate de ASF – Sectorul Instrumente</w:t>
            </w:r>
            <w:r w:rsidR="004746DE">
              <w:rPr>
                <w:rFonts w:eastAsia="Times New Roman" w:cs="Times New Roman"/>
                <w:sz w:val="24"/>
                <w:szCs w:val="24"/>
              </w:rPr>
              <w:t>lor și Investițiilor Financiare</w:t>
            </w:r>
          </w:p>
          <w:p w:rsidR="008D7836" w:rsidRPr="0041654C" w:rsidRDefault="008D7836" w:rsidP="00476615">
            <w:pPr>
              <w:pStyle w:val="Listparagraf"/>
              <w:ind w:left="0"/>
              <w:jc w:val="both"/>
              <w:rPr>
                <w:rFonts w:eastAsia="Times New Roman" w:cs="Times New Roman"/>
                <w:sz w:val="24"/>
                <w:szCs w:val="24"/>
              </w:rPr>
            </w:pPr>
          </w:p>
          <w:p w:rsidR="002021EF" w:rsidRDefault="002021EF" w:rsidP="00476615">
            <w:pPr>
              <w:pStyle w:val="Listparagraf"/>
              <w:ind w:left="0"/>
              <w:jc w:val="both"/>
              <w:rPr>
                <w:rFonts w:eastAsia="Times New Roman" w:cs="Times New Roman"/>
                <w:sz w:val="24"/>
                <w:szCs w:val="24"/>
              </w:rPr>
            </w:pPr>
          </w:p>
          <w:p w:rsidR="0090217D" w:rsidRDefault="0090217D" w:rsidP="00476615">
            <w:pPr>
              <w:pStyle w:val="Listparagraf"/>
              <w:ind w:left="0"/>
              <w:jc w:val="both"/>
              <w:rPr>
                <w:rFonts w:eastAsia="Times New Roman" w:cs="Times New Roman"/>
                <w:sz w:val="24"/>
                <w:szCs w:val="24"/>
              </w:rPr>
            </w:pPr>
          </w:p>
          <w:p w:rsidR="0090217D" w:rsidRDefault="0090217D" w:rsidP="00476615">
            <w:pPr>
              <w:pStyle w:val="Listparagraf"/>
              <w:ind w:left="0"/>
              <w:jc w:val="both"/>
              <w:rPr>
                <w:rFonts w:eastAsia="Times New Roman" w:cs="Times New Roman"/>
                <w:sz w:val="24"/>
                <w:szCs w:val="24"/>
              </w:rPr>
            </w:pPr>
          </w:p>
          <w:p w:rsidR="0090217D" w:rsidRPr="0041654C" w:rsidRDefault="0090217D" w:rsidP="00476615">
            <w:pPr>
              <w:pStyle w:val="Listparagraf"/>
              <w:ind w:left="0"/>
              <w:jc w:val="both"/>
              <w:rPr>
                <w:rFonts w:eastAsia="Times New Roman" w:cs="Times New Roman"/>
                <w:sz w:val="24"/>
                <w:szCs w:val="24"/>
              </w:rPr>
            </w:pPr>
          </w:p>
          <w:p w:rsidR="008D7836" w:rsidRPr="0041654C" w:rsidRDefault="008D7836" w:rsidP="00207E47">
            <w:pPr>
              <w:pStyle w:val="Listparagraf"/>
              <w:numPr>
                <w:ilvl w:val="0"/>
                <w:numId w:val="15"/>
              </w:numPr>
              <w:ind w:left="0" w:firstLine="0"/>
              <w:jc w:val="both"/>
              <w:rPr>
                <w:rFonts w:eastAsia="Times New Roman" w:cs="Times New Roman"/>
                <w:sz w:val="24"/>
                <w:szCs w:val="24"/>
              </w:rPr>
            </w:pPr>
            <w:r w:rsidRPr="0041654C">
              <w:rPr>
                <w:rFonts w:eastAsia="Times New Roman" w:cs="Times New Roman"/>
                <w:sz w:val="24"/>
                <w:szCs w:val="24"/>
              </w:rPr>
              <w:t>Elaborarea unor reglementări privind modalitatea de întocmire și depunere a raportărilor contabile semestriale și a situațiilor financiare anuale conforme cu IFRS</w:t>
            </w:r>
          </w:p>
        </w:tc>
        <w:tc>
          <w:tcPr>
            <w:tcW w:w="3150" w:type="dxa"/>
          </w:tcPr>
          <w:p w:rsidR="008D7836" w:rsidRPr="0041654C" w:rsidRDefault="008D7836">
            <w:pPr>
              <w:rPr>
                <w:rFonts w:cs="Times New Roman"/>
              </w:rPr>
            </w:pPr>
          </w:p>
          <w:p w:rsidR="000A1902" w:rsidRDefault="000A1902" w:rsidP="00683BDE">
            <w:pPr>
              <w:rPr>
                <w:rFonts w:cs="Times New Roman"/>
                <w:sz w:val="24"/>
                <w:szCs w:val="24"/>
              </w:rPr>
            </w:pPr>
            <w:r>
              <w:rPr>
                <w:rFonts w:cs="Times New Roman"/>
                <w:sz w:val="24"/>
                <w:szCs w:val="24"/>
              </w:rPr>
              <w:t xml:space="preserve">          </w:t>
            </w:r>
          </w:p>
          <w:p w:rsidR="000A1902" w:rsidRPr="000A1902" w:rsidRDefault="000A1902" w:rsidP="00683BDE">
            <w:pPr>
              <w:rPr>
                <w:rFonts w:cs="Times New Roman"/>
                <w:sz w:val="24"/>
                <w:szCs w:val="24"/>
              </w:rPr>
            </w:pPr>
            <w:r>
              <w:rPr>
                <w:rFonts w:cs="Times New Roman"/>
                <w:sz w:val="24"/>
                <w:szCs w:val="24"/>
              </w:rPr>
              <w:t xml:space="preserve">            </w:t>
            </w:r>
            <w:r w:rsidR="00683BDE" w:rsidRPr="000A1902">
              <w:rPr>
                <w:rFonts w:cs="Times New Roman"/>
                <w:sz w:val="24"/>
                <w:szCs w:val="24"/>
              </w:rPr>
              <w:t xml:space="preserve">Obiectiv </w:t>
            </w:r>
            <w:r w:rsidR="008B2BE8" w:rsidRPr="000A1902">
              <w:rPr>
                <w:rFonts w:cs="Times New Roman"/>
                <w:sz w:val="24"/>
                <w:szCs w:val="24"/>
              </w:rPr>
              <w:t>realizat</w:t>
            </w:r>
            <w:r w:rsidRPr="000A1902">
              <w:rPr>
                <w:rStyle w:val="Referinnotdesubsol"/>
                <w:rFonts w:cs="Times New Roman"/>
                <w:sz w:val="24"/>
                <w:szCs w:val="24"/>
              </w:rPr>
              <w:footnoteReference w:id="3"/>
            </w:r>
          </w:p>
          <w:p w:rsidR="008D7836" w:rsidRDefault="00683BDE">
            <w:pPr>
              <w:rPr>
                <w:rFonts w:cs="Times New Roman"/>
              </w:rPr>
            </w:pPr>
            <w:r>
              <w:rPr>
                <w:rFonts w:cs="Times New Roman"/>
                <w:color w:val="4F81BD" w:themeColor="accent1"/>
                <w:sz w:val="24"/>
                <w:szCs w:val="24"/>
              </w:rPr>
              <w:t xml:space="preserve"> </w:t>
            </w:r>
          </w:p>
          <w:p w:rsidR="00683BDE" w:rsidRPr="0041654C" w:rsidRDefault="00683BDE">
            <w:pPr>
              <w:rPr>
                <w:rFonts w:cs="Times New Roman"/>
              </w:rPr>
            </w:pPr>
          </w:p>
          <w:p w:rsidR="008D7836" w:rsidRPr="00716533" w:rsidRDefault="008D7836">
            <w:pPr>
              <w:rPr>
                <w:rFonts w:cs="Times New Roman"/>
                <w:sz w:val="24"/>
                <w:szCs w:val="24"/>
              </w:rPr>
            </w:pPr>
            <w:r w:rsidRPr="0041654C">
              <w:rPr>
                <w:rFonts w:cs="Times New Roman"/>
                <w:sz w:val="24"/>
                <w:szCs w:val="24"/>
              </w:rPr>
              <w:t xml:space="preserve">     </w:t>
            </w:r>
          </w:p>
          <w:p w:rsidR="008D7836" w:rsidRPr="0041654C" w:rsidRDefault="008D7836" w:rsidP="00E57D2D">
            <w:pPr>
              <w:jc w:val="both"/>
              <w:rPr>
                <w:rFonts w:cs="Times New Roman"/>
                <w:sz w:val="24"/>
                <w:szCs w:val="24"/>
              </w:rPr>
            </w:pPr>
            <w:r w:rsidRPr="0041654C">
              <w:rPr>
                <w:rFonts w:cs="Times New Roman"/>
                <w:sz w:val="24"/>
                <w:szCs w:val="24"/>
              </w:rPr>
              <w:t>30 zile de la publicarea în M</w:t>
            </w:r>
            <w:r>
              <w:rPr>
                <w:rFonts w:cs="Times New Roman"/>
                <w:sz w:val="24"/>
                <w:szCs w:val="24"/>
              </w:rPr>
              <w:t xml:space="preserve">onitorul </w:t>
            </w:r>
            <w:r w:rsidRPr="0041654C">
              <w:rPr>
                <w:rFonts w:cs="Times New Roman"/>
                <w:sz w:val="24"/>
                <w:szCs w:val="24"/>
              </w:rPr>
              <w:t>O</w:t>
            </w:r>
            <w:r>
              <w:rPr>
                <w:rFonts w:cs="Times New Roman"/>
                <w:sz w:val="24"/>
                <w:szCs w:val="24"/>
              </w:rPr>
              <w:t>ficial</w:t>
            </w:r>
            <w:r w:rsidRPr="0041654C">
              <w:rPr>
                <w:rFonts w:cs="Times New Roman"/>
                <w:sz w:val="24"/>
                <w:szCs w:val="24"/>
              </w:rPr>
              <w:t xml:space="preserve"> al României  a actului normativ ce introduce obligația aplicării IFRS.</w:t>
            </w:r>
          </w:p>
          <w:p w:rsidR="008D7836" w:rsidRPr="0041654C" w:rsidRDefault="008D7836" w:rsidP="00E57D2D">
            <w:pPr>
              <w:jc w:val="both"/>
              <w:rPr>
                <w:rFonts w:cs="Times New Roman"/>
                <w:sz w:val="24"/>
                <w:szCs w:val="24"/>
              </w:rPr>
            </w:pPr>
          </w:p>
          <w:p w:rsidR="008D7836" w:rsidRPr="0041654C" w:rsidRDefault="008D7836" w:rsidP="00E57D2D">
            <w:pPr>
              <w:jc w:val="both"/>
              <w:rPr>
                <w:rFonts w:cs="Times New Roman"/>
                <w:sz w:val="24"/>
                <w:szCs w:val="24"/>
              </w:rPr>
            </w:pPr>
          </w:p>
          <w:p w:rsidR="0090217D" w:rsidRDefault="0090217D" w:rsidP="00207E47">
            <w:pPr>
              <w:jc w:val="center"/>
              <w:rPr>
                <w:rFonts w:cs="Arial"/>
                <w:sz w:val="24"/>
                <w:szCs w:val="24"/>
              </w:rPr>
            </w:pPr>
          </w:p>
          <w:p w:rsidR="008D7836" w:rsidRPr="0041654C" w:rsidRDefault="008D7836" w:rsidP="00207E47">
            <w:pPr>
              <w:jc w:val="center"/>
              <w:rPr>
                <w:rFonts w:cs="Arial"/>
                <w:sz w:val="24"/>
                <w:szCs w:val="24"/>
              </w:rPr>
            </w:pPr>
            <w:r w:rsidRPr="0041654C">
              <w:rPr>
                <w:rFonts w:cs="Arial"/>
                <w:sz w:val="24"/>
                <w:szCs w:val="24"/>
              </w:rPr>
              <w:t>Iunie 2015</w:t>
            </w:r>
          </w:p>
          <w:p w:rsidR="008D7836" w:rsidRPr="0041654C" w:rsidRDefault="008D7836" w:rsidP="00207E47">
            <w:pPr>
              <w:jc w:val="center"/>
              <w:rPr>
                <w:rFonts w:cs="Arial"/>
                <w:sz w:val="24"/>
                <w:szCs w:val="24"/>
              </w:rPr>
            </w:pPr>
            <w:r w:rsidRPr="0041654C">
              <w:rPr>
                <w:rFonts w:cs="Arial"/>
                <w:sz w:val="24"/>
                <w:szCs w:val="24"/>
              </w:rPr>
              <w:t>(raportări semestriale)</w:t>
            </w:r>
          </w:p>
          <w:p w:rsidR="008D7836" w:rsidRPr="0041654C" w:rsidRDefault="008D7836" w:rsidP="008B7F76">
            <w:pPr>
              <w:rPr>
                <w:rFonts w:cs="Arial"/>
                <w:sz w:val="24"/>
                <w:szCs w:val="24"/>
              </w:rPr>
            </w:pPr>
          </w:p>
          <w:p w:rsidR="008D7836" w:rsidRPr="0041654C" w:rsidRDefault="008D7836" w:rsidP="00207E47">
            <w:pPr>
              <w:jc w:val="center"/>
              <w:rPr>
                <w:rFonts w:cs="Arial"/>
                <w:sz w:val="24"/>
                <w:szCs w:val="24"/>
              </w:rPr>
            </w:pPr>
            <w:r w:rsidRPr="0041654C">
              <w:rPr>
                <w:rFonts w:cs="Arial"/>
                <w:sz w:val="24"/>
                <w:szCs w:val="24"/>
              </w:rPr>
              <w:t>Decembrie 2015</w:t>
            </w:r>
          </w:p>
          <w:p w:rsidR="008D7836" w:rsidRPr="0041654C" w:rsidRDefault="008D7836" w:rsidP="003165B4">
            <w:pPr>
              <w:jc w:val="center"/>
              <w:rPr>
                <w:rFonts w:cs="Times New Roman"/>
                <w:sz w:val="24"/>
                <w:szCs w:val="24"/>
              </w:rPr>
            </w:pPr>
            <w:r w:rsidRPr="0041654C">
              <w:rPr>
                <w:rFonts w:cs="Arial"/>
                <w:sz w:val="24"/>
                <w:szCs w:val="24"/>
              </w:rPr>
              <w:t>(situații financiare anuale)</w:t>
            </w:r>
          </w:p>
        </w:tc>
      </w:tr>
    </w:tbl>
    <w:p w:rsidR="00910298" w:rsidRPr="0041654C" w:rsidRDefault="00910298" w:rsidP="008D01CC">
      <w:pPr>
        <w:rPr>
          <w:rFonts w:cs="Times New Roman"/>
        </w:rPr>
      </w:pPr>
    </w:p>
    <w:sectPr w:rsidR="00910298" w:rsidRPr="0041654C" w:rsidSect="00595049">
      <w:footerReference w:type="default" r:id="rId8"/>
      <w:footnotePr>
        <w:numRestart w:val="eachPage"/>
      </w:footnotePr>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09" w:rsidRDefault="00903F09" w:rsidP="0020285B">
      <w:pPr>
        <w:spacing w:after="0" w:line="240" w:lineRule="auto"/>
      </w:pPr>
      <w:r>
        <w:separator/>
      </w:r>
    </w:p>
  </w:endnote>
  <w:endnote w:type="continuationSeparator" w:id="1">
    <w:p w:rsidR="00903F09" w:rsidRDefault="00903F09" w:rsidP="00202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7366"/>
      <w:docPartObj>
        <w:docPartGallery w:val="Page Numbers (Bottom of Page)"/>
        <w:docPartUnique/>
      </w:docPartObj>
    </w:sdtPr>
    <w:sdtContent>
      <w:p w:rsidR="002730BB" w:rsidRDefault="00F07B91">
        <w:pPr>
          <w:pStyle w:val="Subsol"/>
          <w:jc w:val="center"/>
        </w:pPr>
        <w:fldSimple w:instr=" PAGE   \* MERGEFORMAT ">
          <w:r w:rsidR="00CC5103">
            <w:rPr>
              <w:noProof/>
            </w:rPr>
            <w:t>8</w:t>
          </w:r>
        </w:fldSimple>
      </w:p>
    </w:sdtContent>
  </w:sdt>
  <w:p w:rsidR="002730BB" w:rsidRDefault="002730BB">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09" w:rsidRDefault="00903F09" w:rsidP="0020285B">
      <w:pPr>
        <w:spacing w:after="0" w:line="240" w:lineRule="auto"/>
      </w:pPr>
      <w:r>
        <w:separator/>
      </w:r>
    </w:p>
  </w:footnote>
  <w:footnote w:type="continuationSeparator" w:id="1">
    <w:p w:rsidR="00903F09" w:rsidRDefault="00903F09" w:rsidP="0020285B">
      <w:pPr>
        <w:spacing w:after="0" w:line="240" w:lineRule="auto"/>
      </w:pPr>
      <w:r>
        <w:continuationSeparator/>
      </w:r>
    </w:p>
  </w:footnote>
  <w:footnote w:id="2">
    <w:p w:rsidR="004F603C" w:rsidRPr="004F603C" w:rsidRDefault="004F603C">
      <w:pPr>
        <w:pStyle w:val="Textnotdesubsol"/>
        <w:rPr>
          <w:lang w:val="en-US"/>
        </w:rPr>
      </w:pPr>
      <w:r>
        <w:rPr>
          <w:rStyle w:val="Referinnotdesubsol"/>
        </w:rPr>
        <w:footnoteRef/>
      </w:r>
      <w:r>
        <w:t xml:space="preserve">  Au fost emise Deciziile nr. </w:t>
      </w:r>
      <w:r w:rsidR="009C523E">
        <w:t xml:space="preserve">1000 </w:t>
      </w:r>
      <w:r>
        <w:t>și nr.</w:t>
      </w:r>
      <w:r w:rsidR="009C523E">
        <w:t xml:space="preserve">1001 </w:t>
      </w:r>
      <w:r>
        <w:t xml:space="preserve">de aprobare a modificărilor </w:t>
      </w:r>
      <w:r w:rsidR="009C523E">
        <w:t xml:space="preserve">Codului Bursei de Valori București respectiv ale </w:t>
      </w:r>
      <w:r>
        <w:t>Codului Depozitarului Central</w:t>
      </w:r>
      <w:r w:rsidR="009C523E">
        <w:t>.</w:t>
      </w:r>
      <w:r>
        <w:t xml:space="preserve"> </w:t>
      </w:r>
    </w:p>
  </w:footnote>
  <w:footnote w:id="3">
    <w:p w:rsidR="000A1902" w:rsidRPr="000A1902" w:rsidRDefault="000A1902">
      <w:pPr>
        <w:pStyle w:val="Textnotdesubsol"/>
      </w:pPr>
      <w:r>
        <w:rPr>
          <w:rStyle w:val="Referinnotdesubsol"/>
        </w:rPr>
        <w:footnoteRef/>
      </w:r>
      <w:r>
        <w:t xml:space="preserve">    A fost emisă Instrucțiunea nr.2/2014, publicată în Monitorul Oficial, </w:t>
      </w:r>
      <w:r w:rsidRPr="000A1902">
        <w:t>Partea I nr.</w:t>
      </w:r>
      <w:r w:rsidRPr="000A1902">
        <w:rPr>
          <w:rFonts w:ascii="Times New Roman" w:hAnsi="Times New Roman"/>
        </w:rPr>
        <w:t xml:space="preserve"> 593/ 8 august 2014</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646"/>
    <w:multiLevelType w:val="hybridMultilevel"/>
    <w:tmpl w:val="EE2A4E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4573B21"/>
    <w:multiLevelType w:val="hybridMultilevel"/>
    <w:tmpl w:val="5548230A"/>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5A83728"/>
    <w:multiLevelType w:val="hybridMultilevel"/>
    <w:tmpl w:val="792AA6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7131D5E"/>
    <w:multiLevelType w:val="hybridMultilevel"/>
    <w:tmpl w:val="AF108010"/>
    <w:lvl w:ilvl="0" w:tplc="600AD27C">
      <w:start w:val="1"/>
      <w:numFmt w:val="upp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E22565B"/>
    <w:multiLevelType w:val="hybridMultilevel"/>
    <w:tmpl w:val="FEA48D9A"/>
    <w:lvl w:ilvl="0" w:tplc="F76A3F3A">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00E0C62"/>
    <w:multiLevelType w:val="hybridMultilevel"/>
    <w:tmpl w:val="ECA8873E"/>
    <w:lvl w:ilvl="0" w:tplc="6B308F02">
      <w:numFmt w:val="bullet"/>
      <w:lvlText w:val="-"/>
      <w:lvlJc w:val="left"/>
      <w:pPr>
        <w:ind w:left="6024" w:hanging="360"/>
      </w:pPr>
      <w:rPr>
        <w:rFonts w:ascii="Times New Roman" w:eastAsiaTheme="minorEastAsia" w:hAnsi="Times New Roman" w:cs="Times New Roman" w:hint="default"/>
      </w:rPr>
    </w:lvl>
    <w:lvl w:ilvl="1" w:tplc="04180003" w:tentative="1">
      <w:start w:val="1"/>
      <w:numFmt w:val="bullet"/>
      <w:lvlText w:val="o"/>
      <w:lvlJc w:val="left"/>
      <w:pPr>
        <w:ind w:left="6744" w:hanging="360"/>
      </w:pPr>
      <w:rPr>
        <w:rFonts w:ascii="Courier New" w:hAnsi="Courier New" w:cs="Courier New" w:hint="default"/>
      </w:rPr>
    </w:lvl>
    <w:lvl w:ilvl="2" w:tplc="04180005" w:tentative="1">
      <w:start w:val="1"/>
      <w:numFmt w:val="bullet"/>
      <w:lvlText w:val=""/>
      <w:lvlJc w:val="left"/>
      <w:pPr>
        <w:ind w:left="7464" w:hanging="360"/>
      </w:pPr>
      <w:rPr>
        <w:rFonts w:ascii="Wingdings" w:hAnsi="Wingdings" w:hint="default"/>
      </w:rPr>
    </w:lvl>
    <w:lvl w:ilvl="3" w:tplc="04180001" w:tentative="1">
      <w:start w:val="1"/>
      <w:numFmt w:val="bullet"/>
      <w:lvlText w:val=""/>
      <w:lvlJc w:val="left"/>
      <w:pPr>
        <w:ind w:left="8184" w:hanging="360"/>
      </w:pPr>
      <w:rPr>
        <w:rFonts w:ascii="Symbol" w:hAnsi="Symbol" w:hint="default"/>
      </w:rPr>
    </w:lvl>
    <w:lvl w:ilvl="4" w:tplc="04180003" w:tentative="1">
      <w:start w:val="1"/>
      <w:numFmt w:val="bullet"/>
      <w:lvlText w:val="o"/>
      <w:lvlJc w:val="left"/>
      <w:pPr>
        <w:ind w:left="8904" w:hanging="360"/>
      </w:pPr>
      <w:rPr>
        <w:rFonts w:ascii="Courier New" w:hAnsi="Courier New" w:cs="Courier New" w:hint="default"/>
      </w:rPr>
    </w:lvl>
    <w:lvl w:ilvl="5" w:tplc="04180005" w:tentative="1">
      <w:start w:val="1"/>
      <w:numFmt w:val="bullet"/>
      <w:lvlText w:val=""/>
      <w:lvlJc w:val="left"/>
      <w:pPr>
        <w:ind w:left="9624" w:hanging="360"/>
      </w:pPr>
      <w:rPr>
        <w:rFonts w:ascii="Wingdings" w:hAnsi="Wingdings" w:hint="default"/>
      </w:rPr>
    </w:lvl>
    <w:lvl w:ilvl="6" w:tplc="04180001" w:tentative="1">
      <w:start w:val="1"/>
      <w:numFmt w:val="bullet"/>
      <w:lvlText w:val=""/>
      <w:lvlJc w:val="left"/>
      <w:pPr>
        <w:ind w:left="10344" w:hanging="360"/>
      </w:pPr>
      <w:rPr>
        <w:rFonts w:ascii="Symbol" w:hAnsi="Symbol" w:hint="default"/>
      </w:rPr>
    </w:lvl>
    <w:lvl w:ilvl="7" w:tplc="04180003" w:tentative="1">
      <w:start w:val="1"/>
      <w:numFmt w:val="bullet"/>
      <w:lvlText w:val="o"/>
      <w:lvlJc w:val="left"/>
      <w:pPr>
        <w:ind w:left="11064" w:hanging="360"/>
      </w:pPr>
      <w:rPr>
        <w:rFonts w:ascii="Courier New" w:hAnsi="Courier New" w:cs="Courier New" w:hint="default"/>
      </w:rPr>
    </w:lvl>
    <w:lvl w:ilvl="8" w:tplc="04180005" w:tentative="1">
      <w:start w:val="1"/>
      <w:numFmt w:val="bullet"/>
      <w:lvlText w:val=""/>
      <w:lvlJc w:val="left"/>
      <w:pPr>
        <w:ind w:left="11784" w:hanging="360"/>
      </w:pPr>
      <w:rPr>
        <w:rFonts w:ascii="Wingdings" w:hAnsi="Wingdings" w:hint="default"/>
      </w:rPr>
    </w:lvl>
  </w:abstractNum>
  <w:abstractNum w:abstractNumId="6">
    <w:nsid w:val="281F699E"/>
    <w:multiLevelType w:val="hybridMultilevel"/>
    <w:tmpl w:val="9480569E"/>
    <w:lvl w:ilvl="0" w:tplc="C1264FF4">
      <w:start w:val="2"/>
      <w:numFmt w:val="bullet"/>
      <w:lvlText w:val="-"/>
      <w:lvlJc w:val="left"/>
      <w:pPr>
        <w:ind w:left="6024" w:hanging="360"/>
      </w:pPr>
      <w:rPr>
        <w:rFonts w:ascii="Calibri" w:eastAsiaTheme="minorEastAsia" w:hAnsi="Calibri" w:cs="Times New Roman" w:hint="default"/>
      </w:rPr>
    </w:lvl>
    <w:lvl w:ilvl="1" w:tplc="04180003" w:tentative="1">
      <w:start w:val="1"/>
      <w:numFmt w:val="bullet"/>
      <w:lvlText w:val="o"/>
      <w:lvlJc w:val="left"/>
      <w:pPr>
        <w:ind w:left="6744" w:hanging="360"/>
      </w:pPr>
      <w:rPr>
        <w:rFonts w:ascii="Courier New" w:hAnsi="Courier New" w:cs="Courier New" w:hint="default"/>
      </w:rPr>
    </w:lvl>
    <w:lvl w:ilvl="2" w:tplc="04180005" w:tentative="1">
      <w:start w:val="1"/>
      <w:numFmt w:val="bullet"/>
      <w:lvlText w:val=""/>
      <w:lvlJc w:val="left"/>
      <w:pPr>
        <w:ind w:left="7464" w:hanging="360"/>
      </w:pPr>
      <w:rPr>
        <w:rFonts w:ascii="Wingdings" w:hAnsi="Wingdings" w:hint="default"/>
      </w:rPr>
    </w:lvl>
    <w:lvl w:ilvl="3" w:tplc="04180001" w:tentative="1">
      <w:start w:val="1"/>
      <w:numFmt w:val="bullet"/>
      <w:lvlText w:val=""/>
      <w:lvlJc w:val="left"/>
      <w:pPr>
        <w:ind w:left="8184" w:hanging="360"/>
      </w:pPr>
      <w:rPr>
        <w:rFonts w:ascii="Symbol" w:hAnsi="Symbol" w:hint="default"/>
      </w:rPr>
    </w:lvl>
    <w:lvl w:ilvl="4" w:tplc="04180003" w:tentative="1">
      <w:start w:val="1"/>
      <w:numFmt w:val="bullet"/>
      <w:lvlText w:val="o"/>
      <w:lvlJc w:val="left"/>
      <w:pPr>
        <w:ind w:left="8904" w:hanging="360"/>
      </w:pPr>
      <w:rPr>
        <w:rFonts w:ascii="Courier New" w:hAnsi="Courier New" w:cs="Courier New" w:hint="default"/>
      </w:rPr>
    </w:lvl>
    <w:lvl w:ilvl="5" w:tplc="04180005" w:tentative="1">
      <w:start w:val="1"/>
      <w:numFmt w:val="bullet"/>
      <w:lvlText w:val=""/>
      <w:lvlJc w:val="left"/>
      <w:pPr>
        <w:ind w:left="9624" w:hanging="360"/>
      </w:pPr>
      <w:rPr>
        <w:rFonts w:ascii="Wingdings" w:hAnsi="Wingdings" w:hint="default"/>
      </w:rPr>
    </w:lvl>
    <w:lvl w:ilvl="6" w:tplc="04180001" w:tentative="1">
      <w:start w:val="1"/>
      <w:numFmt w:val="bullet"/>
      <w:lvlText w:val=""/>
      <w:lvlJc w:val="left"/>
      <w:pPr>
        <w:ind w:left="10344" w:hanging="360"/>
      </w:pPr>
      <w:rPr>
        <w:rFonts w:ascii="Symbol" w:hAnsi="Symbol" w:hint="default"/>
      </w:rPr>
    </w:lvl>
    <w:lvl w:ilvl="7" w:tplc="04180003" w:tentative="1">
      <w:start w:val="1"/>
      <w:numFmt w:val="bullet"/>
      <w:lvlText w:val="o"/>
      <w:lvlJc w:val="left"/>
      <w:pPr>
        <w:ind w:left="11064" w:hanging="360"/>
      </w:pPr>
      <w:rPr>
        <w:rFonts w:ascii="Courier New" w:hAnsi="Courier New" w:cs="Courier New" w:hint="default"/>
      </w:rPr>
    </w:lvl>
    <w:lvl w:ilvl="8" w:tplc="04180005" w:tentative="1">
      <w:start w:val="1"/>
      <w:numFmt w:val="bullet"/>
      <w:lvlText w:val=""/>
      <w:lvlJc w:val="left"/>
      <w:pPr>
        <w:ind w:left="11784" w:hanging="360"/>
      </w:pPr>
      <w:rPr>
        <w:rFonts w:ascii="Wingdings" w:hAnsi="Wingdings" w:hint="default"/>
      </w:rPr>
    </w:lvl>
  </w:abstractNum>
  <w:abstractNum w:abstractNumId="7">
    <w:nsid w:val="285B61AF"/>
    <w:multiLevelType w:val="hybridMultilevel"/>
    <w:tmpl w:val="6366B8CE"/>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8">
    <w:nsid w:val="2A170201"/>
    <w:multiLevelType w:val="hybridMultilevel"/>
    <w:tmpl w:val="B3E6ED0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AB65247"/>
    <w:multiLevelType w:val="hybridMultilevel"/>
    <w:tmpl w:val="43F442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F697AE7"/>
    <w:multiLevelType w:val="hybridMultilevel"/>
    <w:tmpl w:val="EA66D2DE"/>
    <w:lvl w:ilvl="0" w:tplc="34283BFE">
      <w:start w:val="1"/>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F9B7855"/>
    <w:multiLevelType w:val="hybridMultilevel"/>
    <w:tmpl w:val="14A437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9425EF"/>
    <w:multiLevelType w:val="hybridMultilevel"/>
    <w:tmpl w:val="3DDEE710"/>
    <w:lvl w:ilvl="0" w:tplc="E1B69E66">
      <w:start w:val="2"/>
      <w:numFmt w:val="bullet"/>
      <w:lvlText w:val="-"/>
      <w:lvlJc w:val="left"/>
      <w:pPr>
        <w:ind w:left="5376" w:hanging="360"/>
      </w:pPr>
      <w:rPr>
        <w:rFonts w:ascii="Calibri" w:eastAsiaTheme="minorEastAsia" w:hAnsi="Calibri" w:cs="Times New Roman" w:hint="default"/>
      </w:rPr>
    </w:lvl>
    <w:lvl w:ilvl="1" w:tplc="04180003" w:tentative="1">
      <w:start w:val="1"/>
      <w:numFmt w:val="bullet"/>
      <w:lvlText w:val="o"/>
      <w:lvlJc w:val="left"/>
      <w:pPr>
        <w:ind w:left="6096" w:hanging="360"/>
      </w:pPr>
      <w:rPr>
        <w:rFonts w:ascii="Courier New" w:hAnsi="Courier New" w:cs="Courier New" w:hint="default"/>
      </w:rPr>
    </w:lvl>
    <w:lvl w:ilvl="2" w:tplc="04180005" w:tentative="1">
      <w:start w:val="1"/>
      <w:numFmt w:val="bullet"/>
      <w:lvlText w:val=""/>
      <w:lvlJc w:val="left"/>
      <w:pPr>
        <w:ind w:left="6816" w:hanging="360"/>
      </w:pPr>
      <w:rPr>
        <w:rFonts w:ascii="Wingdings" w:hAnsi="Wingdings" w:hint="default"/>
      </w:rPr>
    </w:lvl>
    <w:lvl w:ilvl="3" w:tplc="04180001" w:tentative="1">
      <w:start w:val="1"/>
      <w:numFmt w:val="bullet"/>
      <w:lvlText w:val=""/>
      <w:lvlJc w:val="left"/>
      <w:pPr>
        <w:ind w:left="7536" w:hanging="360"/>
      </w:pPr>
      <w:rPr>
        <w:rFonts w:ascii="Symbol" w:hAnsi="Symbol" w:hint="default"/>
      </w:rPr>
    </w:lvl>
    <w:lvl w:ilvl="4" w:tplc="04180003" w:tentative="1">
      <w:start w:val="1"/>
      <w:numFmt w:val="bullet"/>
      <w:lvlText w:val="o"/>
      <w:lvlJc w:val="left"/>
      <w:pPr>
        <w:ind w:left="8256" w:hanging="360"/>
      </w:pPr>
      <w:rPr>
        <w:rFonts w:ascii="Courier New" w:hAnsi="Courier New" w:cs="Courier New" w:hint="default"/>
      </w:rPr>
    </w:lvl>
    <w:lvl w:ilvl="5" w:tplc="04180005" w:tentative="1">
      <w:start w:val="1"/>
      <w:numFmt w:val="bullet"/>
      <w:lvlText w:val=""/>
      <w:lvlJc w:val="left"/>
      <w:pPr>
        <w:ind w:left="8976" w:hanging="360"/>
      </w:pPr>
      <w:rPr>
        <w:rFonts w:ascii="Wingdings" w:hAnsi="Wingdings" w:hint="default"/>
      </w:rPr>
    </w:lvl>
    <w:lvl w:ilvl="6" w:tplc="04180001" w:tentative="1">
      <w:start w:val="1"/>
      <w:numFmt w:val="bullet"/>
      <w:lvlText w:val=""/>
      <w:lvlJc w:val="left"/>
      <w:pPr>
        <w:ind w:left="9696" w:hanging="360"/>
      </w:pPr>
      <w:rPr>
        <w:rFonts w:ascii="Symbol" w:hAnsi="Symbol" w:hint="default"/>
      </w:rPr>
    </w:lvl>
    <w:lvl w:ilvl="7" w:tplc="04180003" w:tentative="1">
      <w:start w:val="1"/>
      <w:numFmt w:val="bullet"/>
      <w:lvlText w:val="o"/>
      <w:lvlJc w:val="left"/>
      <w:pPr>
        <w:ind w:left="10416" w:hanging="360"/>
      </w:pPr>
      <w:rPr>
        <w:rFonts w:ascii="Courier New" w:hAnsi="Courier New" w:cs="Courier New" w:hint="default"/>
      </w:rPr>
    </w:lvl>
    <w:lvl w:ilvl="8" w:tplc="04180005" w:tentative="1">
      <w:start w:val="1"/>
      <w:numFmt w:val="bullet"/>
      <w:lvlText w:val=""/>
      <w:lvlJc w:val="left"/>
      <w:pPr>
        <w:ind w:left="11136" w:hanging="360"/>
      </w:pPr>
      <w:rPr>
        <w:rFonts w:ascii="Wingdings" w:hAnsi="Wingdings" w:hint="default"/>
      </w:rPr>
    </w:lvl>
  </w:abstractNum>
  <w:abstractNum w:abstractNumId="13">
    <w:nsid w:val="3B83557A"/>
    <w:multiLevelType w:val="hybridMultilevel"/>
    <w:tmpl w:val="58BC8A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DE7059B"/>
    <w:multiLevelType w:val="hybridMultilevel"/>
    <w:tmpl w:val="656C7884"/>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9905DC0"/>
    <w:multiLevelType w:val="hybridMultilevel"/>
    <w:tmpl w:val="F600027E"/>
    <w:lvl w:ilvl="0" w:tplc="B030C242">
      <w:start w:val="2"/>
      <w:numFmt w:val="bullet"/>
      <w:lvlText w:val="-"/>
      <w:lvlJc w:val="left"/>
      <w:pPr>
        <w:ind w:left="5316" w:hanging="360"/>
      </w:pPr>
      <w:rPr>
        <w:rFonts w:ascii="Calibri" w:eastAsiaTheme="minorEastAsia" w:hAnsi="Calibri" w:cs="Times New Roman" w:hint="default"/>
      </w:rPr>
    </w:lvl>
    <w:lvl w:ilvl="1" w:tplc="04180003" w:tentative="1">
      <w:start w:val="1"/>
      <w:numFmt w:val="bullet"/>
      <w:lvlText w:val="o"/>
      <w:lvlJc w:val="left"/>
      <w:pPr>
        <w:ind w:left="6036" w:hanging="360"/>
      </w:pPr>
      <w:rPr>
        <w:rFonts w:ascii="Courier New" w:hAnsi="Courier New" w:cs="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cs="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cs="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16">
    <w:nsid w:val="521B2D40"/>
    <w:multiLevelType w:val="hybridMultilevel"/>
    <w:tmpl w:val="D0ACCBC0"/>
    <w:lvl w:ilvl="0" w:tplc="02EECFD2">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91E0A1D"/>
    <w:multiLevelType w:val="hybridMultilevel"/>
    <w:tmpl w:val="52F4C7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9B84124"/>
    <w:multiLevelType w:val="hybridMultilevel"/>
    <w:tmpl w:val="5A0CD27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61607CB4"/>
    <w:multiLevelType w:val="hybridMultilevel"/>
    <w:tmpl w:val="4A52A498"/>
    <w:lvl w:ilvl="0" w:tplc="23BC40FA">
      <w:start w:val="2"/>
      <w:numFmt w:val="bullet"/>
      <w:lvlText w:val="-"/>
      <w:lvlJc w:val="left"/>
      <w:pPr>
        <w:ind w:left="6210" w:hanging="360"/>
      </w:pPr>
      <w:rPr>
        <w:rFonts w:ascii="Calibri" w:eastAsiaTheme="minorEastAsia" w:hAnsi="Calibri" w:cs="Times New Roman" w:hint="default"/>
      </w:rPr>
    </w:lvl>
    <w:lvl w:ilvl="1" w:tplc="04180003" w:tentative="1">
      <w:start w:val="1"/>
      <w:numFmt w:val="bullet"/>
      <w:lvlText w:val="o"/>
      <w:lvlJc w:val="left"/>
      <w:pPr>
        <w:ind w:left="6930" w:hanging="360"/>
      </w:pPr>
      <w:rPr>
        <w:rFonts w:ascii="Courier New" w:hAnsi="Courier New" w:cs="Courier New" w:hint="default"/>
      </w:rPr>
    </w:lvl>
    <w:lvl w:ilvl="2" w:tplc="04180005" w:tentative="1">
      <w:start w:val="1"/>
      <w:numFmt w:val="bullet"/>
      <w:lvlText w:val=""/>
      <w:lvlJc w:val="left"/>
      <w:pPr>
        <w:ind w:left="7650" w:hanging="360"/>
      </w:pPr>
      <w:rPr>
        <w:rFonts w:ascii="Wingdings" w:hAnsi="Wingdings" w:hint="default"/>
      </w:rPr>
    </w:lvl>
    <w:lvl w:ilvl="3" w:tplc="04180001" w:tentative="1">
      <w:start w:val="1"/>
      <w:numFmt w:val="bullet"/>
      <w:lvlText w:val=""/>
      <w:lvlJc w:val="left"/>
      <w:pPr>
        <w:ind w:left="8370" w:hanging="360"/>
      </w:pPr>
      <w:rPr>
        <w:rFonts w:ascii="Symbol" w:hAnsi="Symbol" w:hint="default"/>
      </w:rPr>
    </w:lvl>
    <w:lvl w:ilvl="4" w:tplc="04180003" w:tentative="1">
      <w:start w:val="1"/>
      <w:numFmt w:val="bullet"/>
      <w:lvlText w:val="o"/>
      <w:lvlJc w:val="left"/>
      <w:pPr>
        <w:ind w:left="9090" w:hanging="360"/>
      </w:pPr>
      <w:rPr>
        <w:rFonts w:ascii="Courier New" w:hAnsi="Courier New" w:cs="Courier New" w:hint="default"/>
      </w:rPr>
    </w:lvl>
    <w:lvl w:ilvl="5" w:tplc="04180005" w:tentative="1">
      <w:start w:val="1"/>
      <w:numFmt w:val="bullet"/>
      <w:lvlText w:val=""/>
      <w:lvlJc w:val="left"/>
      <w:pPr>
        <w:ind w:left="9810" w:hanging="360"/>
      </w:pPr>
      <w:rPr>
        <w:rFonts w:ascii="Wingdings" w:hAnsi="Wingdings" w:hint="default"/>
      </w:rPr>
    </w:lvl>
    <w:lvl w:ilvl="6" w:tplc="04180001" w:tentative="1">
      <w:start w:val="1"/>
      <w:numFmt w:val="bullet"/>
      <w:lvlText w:val=""/>
      <w:lvlJc w:val="left"/>
      <w:pPr>
        <w:ind w:left="10530" w:hanging="360"/>
      </w:pPr>
      <w:rPr>
        <w:rFonts w:ascii="Symbol" w:hAnsi="Symbol" w:hint="default"/>
      </w:rPr>
    </w:lvl>
    <w:lvl w:ilvl="7" w:tplc="04180003" w:tentative="1">
      <w:start w:val="1"/>
      <w:numFmt w:val="bullet"/>
      <w:lvlText w:val="o"/>
      <w:lvlJc w:val="left"/>
      <w:pPr>
        <w:ind w:left="11250" w:hanging="360"/>
      </w:pPr>
      <w:rPr>
        <w:rFonts w:ascii="Courier New" w:hAnsi="Courier New" w:cs="Courier New" w:hint="default"/>
      </w:rPr>
    </w:lvl>
    <w:lvl w:ilvl="8" w:tplc="04180005" w:tentative="1">
      <w:start w:val="1"/>
      <w:numFmt w:val="bullet"/>
      <w:lvlText w:val=""/>
      <w:lvlJc w:val="left"/>
      <w:pPr>
        <w:ind w:left="11970" w:hanging="360"/>
      </w:pPr>
      <w:rPr>
        <w:rFonts w:ascii="Wingdings" w:hAnsi="Wingdings" w:hint="default"/>
      </w:rPr>
    </w:lvl>
  </w:abstractNum>
  <w:abstractNum w:abstractNumId="20">
    <w:nsid w:val="67C77CA9"/>
    <w:multiLevelType w:val="hybridMultilevel"/>
    <w:tmpl w:val="E6AE4D4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74C8E"/>
    <w:multiLevelType w:val="hybridMultilevel"/>
    <w:tmpl w:val="6138F840"/>
    <w:lvl w:ilvl="0" w:tplc="04180001">
      <w:start w:val="1"/>
      <w:numFmt w:val="bullet"/>
      <w:lvlText w:val=""/>
      <w:lvlJc w:val="left"/>
      <w:pPr>
        <w:ind w:left="1037" w:hanging="360"/>
      </w:pPr>
      <w:rPr>
        <w:rFonts w:ascii="Symbol" w:hAnsi="Symbol" w:hint="default"/>
      </w:rPr>
    </w:lvl>
    <w:lvl w:ilvl="1" w:tplc="04180003" w:tentative="1">
      <w:start w:val="1"/>
      <w:numFmt w:val="bullet"/>
      <w:lvlText w:val="o"/>
      <w:lvlJc w:val="left"/>
      <w:pPr>
        <w:ind w:left="1757" w:hanging="360"/>
      </w:pPr>
      <w:rPr>
        <w:rFonts w:ascii="Courier New" w:hAnsi="Courier New" w:cs="Courier New" w:hint="default"/>
      </w:rPr>
    </w:lvl>
    <w:lvl w:ilvl="2" w:tplc="04180005" w:tentative="1">
      <w:start w:val="1"/>
      <w:numFmt w:val="bullet"/>
      <w:lvlText w:val=""/>
      <w:lvlJc w:val="left"/>
      <w:pPr>
        <w:ind w:left="2477" w:hanging="360"/>
      </w:pPr>
      <w:rPr>
        <w:rFonts w:ascii="Wingdings" w:hAnsi="Wingdings" w:hint="default"/>
      </w:rPr>
    </w:lvl>
    <w:lvl w:ilvl="3" w:tplc="04180001" w:tentative="1">
      <w:start w:val="1"/>
      <w:numFmt w:val="bullet"/>
      <w:lvlText w:val=""/>
      <w:lvlJc w:val="left"/>
      <w:pPr>
        <w:ind w:left="3197" w:hanging="360"/>
      </w:pPr>
      <w:rPr>
        <w:rFonts w:ascii="Symbol" w:hAnsi="Symbol" w:hint="default"/>
      </w:rPr>
    </w:lvl>
    <w:lvl w:ilvl="4" w:tplc="04180003" w:tentative="1">
      <w:start w:val="1"/>
      <w:numFmt w:val="bullet"/>
      <w:lvlText w:val="o"/>
      <w:lvlJc w:val="left"/>
      <w:pPr>
        <w:ind w:left="3917" w:hanging="360"/>
      </w:pPr>
      <w:rPr>
        <w:rFonts w:ascii="Courier New" w:hAnsi="Courier New" w:cs="Courier New" w:hint="default"/>
      </w:rPr>
    </w:lvl>
    <w:lvl w:ilvl="5" w:tplc="04180005" w:tentative="1">
      <w:start w:val="1"/>
      <w:numFmt w:val="bullet"/>
      <w:lvlText w:val=""/>
      <w:lvlJc w:val="left"/>
      <w:pPr>
        <w:ind w:left="4637" w:hanging="360"/>
      </w:pPr>
      <w:rPr>
        <w:rFonts w:ascii="Wingdings" w:hAnsi="Wingdings" w:hint="default"/>
      </w:rPr>
    </w:lvl>
    <w:lvl w:ilvl="6" w:tplc="04180001" w:tentative="1">
      <w:start w:val="1"/>
      <w:numFmt w:val="bullet"/>
      <w:lvlText w:val=""/>
      <w:lvlJc w:val="left"/>
      <w:pPr>
        <w:ind w:left="5357" w:hanging="360"/>
      </w:pPr>
      <w:rPr>
        <w:rFonts w:ascii="Symbol" w:hAnsi="Symbol" w:hint="default"/>
      </w:rPr>
    </w:lvl>
    <w:lvl w:ilvl="7" w:tplc="04180003" w:tentative="1">
      <w:start w:val="1"/>
      <w:numFmt w:val="bullet"/>
      <w:lvlText w:val="o"/>
      <w:lvlJc w:val="left"/>
      <w:pPr>
        <w:ind w:left="6077" w:hanging="360"/>
      </w:pPr>
      <w:rPr>
        <w:rFonts w:ascii="Courier New" w:hAnsi="Courier New" w:cs="Courier New" w:hint="default"/>
      </w:rPr>
    </w:lvl>
    <w:lvl w:ilvl="8" w:tplc="04180005" w:tentative="1">
      <w:start w:val="1"/>
      <w:numFmt w:val="bullet"/>
      <w:lvlText w:val=""/>
      <w:lvlJc w:val="left"/>
      <w:pPr>
        <w:ind w:left="6797" w:hanging="360"/>
      </w:pPr>
      <w:rPr>
        <w:rFonts w:ascii="Wingdings" w:hAnsi="Wingdings" w:hint="default"/>
      </w:rPr>
    </w:lvl>
  </w:abstractNum>
  <w:abstractNum w:abstractNumId="22">
    <w:nsid w:val="6A150633"/>
    <w:multiLevelType w:val="hybridMultilevel"/>
    <w:tmpl w:val="15BC53A6"/>
    <w:lvl w:ilvl="0" w:tplc="750CE5A2">
      <w:start w:val="2"/>
      <w:numFmt w:val="bullet"/>
      <w:lvlText w:val="-"/>
      <w:lvlJc w:val="left"/>
      <w:pPr>
        <w:ind w:left="5850" w:hanging="360"/>
      </w:pPr>
      <w:rPr>
        <w:rFonts w:ascii="Calibri" w:eastAsiaTheme="minorEastAsia" w:hAnsi="Calibri" w:cs="Times New Roman" w:hint="default"/>
      </w:rPr>
    </w:lvl>
    <w:lvl w:ilvl="1" w:tplc="04180003" w:tentative="1">
      <w:start w:val="1"/>
      <w:numFmt w:val="bullet"/>
      <w:lvlText w:val="o"/>
      <w:lvlJc w:val="left"/>
      <w:pPr>
        <w:ind w:left="6570" w:hanging="360"/>
      </w:pPr>
      <w:rPr>
        <w:rFonts w:ascii="Courier New" w:hAnsi="Courier New" w:cs="Courier New" w:hint="default"/>
      </w:rPr>
    </w:lvl>
    <w:lvl w:ilvl="2" w:tplc="04180005" w:tentative="1">
      <w:start w:val="1"/>
      <w:numFmt w:val="bullet"/>
      <w:lvlText w:val=""/>
      <w:lvlJc w:val="left"/>
      <w:pPr>
        <w:ind w:left="7290" w:hanging="360"/>
      </w:pPr>
      <w:rPr>
        <w:rFonts w:ascii="Wingdings" w:hAnsi="Wingdings" w:hint="default"/>
      </w:rPr>
    </w:lvl>
    <w:lvl w:ilvl="3" w:tplc="04180001" w:tentative="1">
      <w:start w:val="1"/>
      <w:numFmt w:val="bullet"/>
      <w:lvlText w:val=""/>
      <w:lvlJc w:val="left"/>
      <w:pPr>
        <w:ind w:left="8010" w:hanging="360"/>
      </w:pPr>
      <w:rPr>
        <w:rFonts w:ascii="Symbol" w:hAnsi="Symbol" w:hint="default"/>
      </w:rPr>
    </w:lvl>
    <w:lvl w:ilvl="4" w:tplc="04180003" w:tentative="1">
      <w:start w:val="1"/>
      <w:numFmt w:val="bullet"/>
      <w:lvlText w:val="o"/>
      <w:lvlJc w:val="left"/>
      <w:pPr>
        <w:ind w:left="8730" w:hanging="360"/>
      </w:pPr>
      <w:rPr>
        <w:rFonts w:ascii="Courier New" w:hAnsi="Courier New" w:cs="Courier New" w:hint="default"/>
      </w:rPr>
    </w:lvl>
    <w:lvl w:ilvl="5" w:tplc="04180005" w:tentative="1">
      <w:start w:val="1"/>
      <w:numFmt w:val="bullet"/>
      <w:lvlText w:val=""/>
      <w:lvlJc w:val="left"/>
      <w:pPr>
        <w:ind w:left="9450" w:hanging="360"/>
      </w:pPr>
      <w:rPr>
        <w:rFonts w:ascii="Wingdings" w:hAnsi="Wingdings" w:hint="default"/>
      </w:rPr>
    </w:lvl>
    <w:lvl w:ilvl="6" w:tplc="04180001" w:tentative="1">
      <w:start w:val="1"/>
      <w:numFmt w:val="bullet"/>
      <w:lvlText w:val=""/>
      <w:lvlJc w:val="left"/>
      <w:pPr>
        <w:ind w:left="10170" w:hanging="360"/>
      </w:pPr>
      <w:rPr>
        <w:rFonts w:ascii="Symbol" w:hAnsi="Symbol" w:hint="default"/>
      </w:rPr>
    </w:lvl>
    <w:lvl w:ilvl="7" w:tplc="04180003" w:tentative="1">
      <w:start w:val="1"/>
      <w:numFmt w:val="bullet"/>
      <w:lvlText w:val="o"/>
      <w:lvlJc w:val="left"/>
      <w:pPr>
        <w:ind w:left="10890" w:hanging="360"/>
      </w:pPr>
      <w:rPr>
        <w:rFonts w:ascii="Courier New" w:hAnsi="Courier New" w:cs="Courier New" w:hint="default"/>
      </w:rPr>
    </w:lvl>
    <w:lvl w:ilvl="8" w:tplc="04180005" w:tentative="1">
      <w:start w:val="1"/>
      <w:numFmt w:val="bullet"/>
      <w:lvlText w:val=""/>
      <w:lvlJc w:val="left"/>
      <w:pPr>
        <w:ind w:left="11610" w:hanging="360"/>
      </w:pPr>
      <w:rPr>
        <w:rFonts w:ascii="Wingdings" w:hAnsi="Wingdings" w:hint="default"/>
      </w:rPr>
    </w:lvl>
  </w:abstractNum>
  <w:abstractNum w:abstractNumId="23">
    <w:nsid w:val="6DED7EDA"/>
    <w:multiLevelType w:val="hybridMultilevel"/>
    <w:tmpl w:val="0DC8FFA2"/>
    <w:lvl w:ilvl="0" w:tplc="B9EAF6FE">
      <w:start w:val="2"/>
      <w:numFmt w:val="bullet"/>
      <w:lvlText w:val="-"/>
      <w:lvlJc w:val="left"/>
      <w:pPr>
        <w:ind w:left="5946" w:hanging="360"/>
      </w:pPr>
      <w:rPr>
        <w:rFonts w:ascii="Calibri" w:eastAsiaTheme="minorEastAsia" w:hAnsi="Calibri" w:cs="Times New Roman" w:hint="default"/>
      </w:rPr>
    </w:lvl>
    <w:lvl w:ilvl="1" w:tplc="04180003" w:tentative="1">
      <w:start w:val="1"/>
      <w:numFmt w:val="bullet"/>
      <w:lvlText w:val="o"/>
      <w:lvlJc w:val="left"/>
      <w:pPr>
        <w:ind w:left="6666" w:hanging="360"/>
      </w:pPr>
      <w:rPr>
        <w:rFonts w:ascii="Courier New" w:hAnsi="Courier New" w:cs="Courier New" w:hint="default"/>
      </w:rPr>
    </w:lvl>
    <w:lvl w:ilvl="2" w:tplc="04180005" w:tentative="1">
      <w:start w:val="1"/>
      <w:numFmt w:val="bullet"/>
      <w:lvlText w:val=""/>
      <w:lvlJc w:val="left"/>
      <w:pPr>
        <w:ind w:left="7386" w:hanging="360"/>
      </w:pPr>
      <w:rPr>
        <w:rFonts w:ascii="Wingdings" w:hAnsi="Wingdings" w:hint="default"/>
      </w:rPr>
    </w:lvl>
    <w:lvl w:ilvl="3" w:tplc="04180001" w:tentative="1">
      <w:start w:val="1"/>
      <w:numFmt w:val="bullet"/>
      <w:lvlText w:val=""/>
      <w:lvlJc w:val="left"/>
      <w:pPr>
        <w:ind w:left="8106" w:hanging="360"/>
      </w:pPr>
      <w:rPr>
        <w:rFonts w:ascii="Symbol" w:hAnsi="Symbol" w:hint="default"/>
      </w:rPr>
    </w:lvl>
    <w:lvl w:ilvl="4" w:tplc="04180003" w:tentative="1">
      <w:start w:val="1"/>
      <w:numFmt w:val="bullet"/>
      <w:lvlText w:val="o"/>
      <w:lvlJc w:val="left"/>
      <w:pPr>
        <w:ind w:left="8826" w:hanging="360"/>
      </w:pPr>
      <w:rPr>
        <w:rFonts w:ascii="Courier New" w:hAnsi="Courier New" w:cs="Courier New" w:hint="default"/>
      </w:rPr>
    </w:lvl>
    <w:lvl w:ilvl="5" w:tplc="04180005" w:tentative="1">
      <w:start w:val="1"/>
      <w:numFmt w:val="bullet"/>
      <w:lvlText w:val=""/>
      <w:lvlJc w:val="left"/>
      <w:pPr>
        <w:ind w:left="9546" w:hanging="360"/>
      </w:pPr>
      <w:rPr>
        <w:rFonts w:ascii="Wingdings" w:hAnsi="Wingdings" w:hint="default"/>
      </w:rPr>
    </w:lvl>
    <w:lvl w:ilvl="6" w:tplc="04180001" w:tentative="1">
      <w:start w:val="1"/>
      <w:numFmt w:val="bullet"/>
      <w:lvlText w:val=""/>
      <w:lvlJc w:val="left"/>
      <w:pPr>
        <w:ind w:left="10266" w:hanging="360"/>
      </w:pPr>
      <w:rPr>
        <w:rFonts w:ascii="Symbol" w:hAnsi="Symbol" w:hint="default"/>
      </w:rPr>
    </w:lvl>
    <w:lvl w:ilvl="7" w:tplc="04180003" w:tentative="1">
      <w:start w:val="1"/>
      <w:numFmt w:val="bullet"/>
      <w:lvlText w:val="o"/>
      <w:lvlJc w:val="left"/>
      <w:pPr>
        <w:ind w:left="10986" w:hanging="360"/>
      </w:pPr>
      <w:rPr>
        <w:rFonts w:ascii="Courier New" w:hAnsi="Courier New" w:cs="Courier New" w:hint="default"/>
      </w:rPr>
    </w:lvl>
    <w:lvl w:ilvl="8" w:tplc="04180005" w:tentative="1">
      <w:start w:val="1"/>
      <w:numFmt w:val="bullet"/>
      <w:lvlText w:val=""/>
      <w:lvlJc w:val="left"/>
      <w:pPr>
        <w:ind w:left="11706" w:hanging="360"/>
      </w:pPr>
      <w:rPr>
        <w:rFonts w:ascii="Wingdings" w:hAnsi="Wingdings" w:hint="default"/>
      </w:rPr>
    </w:lvl>
  </w:abstractNum>
  <w:abstractNum w:abstractNumId="24">
    <w:nsid w:val="6F130384"/>
    <w:multiLevelType w:val="hybridMultilevel"/>
    <w:tmpl w:val="ABA670FC"/>
    <w:lvl w:ilvl="0" w:tplc="C748B998">
      <w:start w:val="1"/>
      <w:numFmt w:val="upp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5">
    <w:nsid w:val="6F183C0A"/>
    <w:multiLevelType w:val="hybridMultilevel"/>
    <w:tmpl w:val="16CAB7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753E13A0"/>
    <w:multiLevelType w:val="hybridMultilevel"/>
    <w:tmpl w:val="392A59C8"/>
    <w:lvl w:ilvl="0" w:tplc="4AAE883E">
      <w:numFmt w:val="bullet"/>
      <w:lvlText w:val="-"/>
      <w:lvlJc w:val="left"/>
      <w:pPr>
        <w:ind w:left="6564" w:hanging="360"/>
      </w:pPr>
      <w:rPr>
        <w:rFonts w:ascii="Times New Roman" w:eastAsiaTheme="minorEastAsia" w:hAnsi="Times New Roman" w:cs="Times New Roman" w:hint="default"/>
      </w:rPr>
    </w:lvl>
    <w:lvl w:ilvl="1" w:tplc="04180003" w:tentative="1">
      <w:start w:val="1"/>
      <w:numFmt w:val="bullet"/>
      <w:lvlText w:val="o"/>
      <w:lvlJc w:val="left"/>
      <w:pPr>
        <w:ind w:left="7284" w:hanging="360"/>
      </w:pPr>
      <w:rPr>
        <w:rFonts w:ascii="Courier New" w:hAnsi="Courier New" w:cs="Courier New" w:hint="default"/>
      </w:rPr>
    </w:lvl>
    <w:lvl w:ilvl="2" w:tplc="04180005" w:tentative="1">
      <w:start w:val="1"/>
      <w:numFmt w:val="bullet"/>
      <w:lvlText w:val=""/>
      <w:lvlJc w:val="left"/>
      <w:pPr>
        <w:ind w:left="8004" w:hanging="360"/>
      </w:pPr>
      <w:rPr>
        <w:rFonts w:ascii="Wingdings" w:hAnsi="Wingdings" w:hint="default"/>
      </w:rPr>
    </w:lvl>
    <w:lvl w:ilvl="3" w:tplc="04180001" w:tentative="1">
      <w:start w:val="1"/>
      <w:numFmt w:val="bullet"/>
      <w:lvlText w:val=""/>
      <w:lvlJc w:val="left"/>
      <w:pPr>
        <w:ind w:left="8724" w:hanging="360"/>
      </w:pPr>
      <w:rPr>
        <w:rFonts w:ascii="Symbol" w:hAnsi="Symbol" w:hint="default"/>
      </w:rPr>
    </w:lvl>
    <w:lvl w:ilvl="4" w:tplc="04180003" w:tentative="1">
      <w:start w:val="1"/>
      <w:numFmt w:val="bullet"/>
      <w:lvlText w:val="o"/>
      <w:lvlJc w:val="left"/>
      <w:pPr>
        <w:ind w:left="9444" w:hanging="360"/>
      </w:pPr>
      <w:rPr>
        <w:rFonts w:ascii="Courier New" w:hAnsi="Courier New" w:cs="Courier New" w:hint="default"/>
      </w:rPr>
    </w:lvl>
    <w:lvl w:ilvl="5" w:tplc="04180005" w:tentative="1">
      <w:start w:val="1"/>
      <w:numFmt w:val="bullet"/>
      <w:lvlText w:val=""/>
      <w:lvlJc w:val="left"/>
      <w:pPr>
        <w:ind w:left="10164" w:hanging="360"/>
      </w:pPr>
      <w:rPr>
        <w:rFonts w:ascii="Wingdings" w:hAnsi="Wingdings" w:hint="default"/>
      </w:rPr>
    </w:lvl>
    <w:lvl w:ilvl="6" w:tplc="04180001" w:tentative="1">
      <w:start w:val="1"/>
      <w:numFmt w:val="bullet"/>
      <w:lvlText w:val=""/>
      <w:lvlJc w:val="left"/>
      <w:pPr>
        <w:ind w:left="10884" w:hanging="360"/>
      </w:pPr>
      <w:rPr>
        <w:rFonts w:ascii="Symbol" w:hAnsi="Symbol" w:hint="default"/>
      </w:rPr>
    </w:lvl>
    <w:lvl w:ilvl="7" w:tplc="04180003" w:tentative="1">
      <w:start w:val="1"/>
      <w:numFmt w:val="bullet"/>
      <w:lvlText w:val="o"/>
      <w:lvlJc w:val="left"/>
      <w:pPr>
        <w:ind w:left="11604" w:hanging="360"/>
      </w:pPr>
      <w:rPr>
        <w:rFonts w:ascii="Courier New" w:hAnsi="Courier New" w:cs="Courier New" w:hint="default"/>
      </w:rPr>
    </w:lvl>
    <w:lvl w:ilvl="8" w:tplc="04180005" w:tentative="1">
      <w:start w:val="1"/>
      <w:numFmt w:val="bullet"/>
      <w:lvlText w:val=""/>
      <w:lvlJc w:val="left"/>
      <w:pPr>
        <w:ind w:left="12324" w:hanging="360"/>
      </w:pPr>
      <w:rPr>
        <w:rFonts w:ascii="Wingdings" w:hAnsi="Wingdings" w:hint="default"/>
      </w:rPr>
    </w:lvl>
  </w:abstractNum>
  <w:abstractNum w:abstractNumId="27">
    <w:nsid w:val="79CC641C"/>
    <w:multiLevelType w:val="hybridMultilevel"/>
    <w:tmpl w:val="A6326E66"/>
    <w:lvl w:ilvl="0" w:tplc="26609CA4">
      <w:numFmt w:val="bullet"/>
      <w:lvlText w:val="-"/>
      <w:lvlJc w:val="left"/>
      <w:pPr>
        <w:ind w:left="6414" w:hanging="360"/>
      </w:pPr>
      <w:rPr>
        <w:rFonts w:ascii="Calibri" w:eastAsiaTheme="minorEastAsia" w:hAnsi="Calibri" w:cstheme="minorBidi" w:hint="default"/>
      </w:rPr>
    </w:lvl>
    <w:lvl w:ilvl="1" w:tplc="04180003" w:tentative="1">
      <w:start w:val="1"/>
      <w:numFmt w:val="bullet"/>
      <w:lvlText w:val="o"/>
      <w:lvlJc w:val="left"/>
      <w:pPr>
        <w:ind w:left="7134" w:hanging="360"/>
      </w:pPr>
      <w:rPr>
        <w:rFonts w:ascii="Courier New" w:hAnsi="Courier New" w:cs="Courier New" w:hint="default"/>
      </w:rPr>
    </w:lvl>
    <w:lvl w:ilvl="2" w:tplc="04180005" w:tentative="1">
      <w:start w:val="1"/>
      <w:numFmt w:val="bullet"/>
      <w:lvlText w:val=""/>
      <w:lvlJc w:val="left"/>
      <w:pPr>
        <w:ind w:left="7854" w:hanging="360"/>
      </w:pPr>
      <w:rPr>
        <w:rFonts w:ascii="Wingdings" w:hAnsi="Wingdings" w:hint="default"/>
      </w:rPr>
    </w:lvl>
    <w:lvl w:ilvl="3" w:tplc="04180001" w:tentative="1">
      <w:start w:val="1"/>
      <w:numFmt w:val="bullet"/>
      <w:lvlText w:val=""/>
      <w:lvlJc w:val="left"/>
      <w:pPr>
        <w:ind w:left="8574" w:hanging="360"/>
      </w:pPr>
      <w:rPr>
        <w:rFonts w:ascii="Symbol" w:hAnsi="Symbol" w:hint="default"/>
      </w:rPr>
    </w:lvl>
    <w:lvl w:ilvl="4" w:tplc="04180003" w:tentative="1">
      <w:start w:val="1"/>
      <w:numFmt w:val="bullet"/>
      <w:lvlText w:val="o"/>
      <w:lvlJc w:val="left"/>
      <w:pPr>
        <w:ind w:left="9294" w:hanging="360"/>
      </w:pPr>
      <w:rPr>
        <w:rFonts w:ascii="Courier New" w:hAnsi="Courier New" w:cs="Courier New" w:hint="default"/>
      </w:rPr>
    </w:lvl>
    <w:lvl w:ilvl="5" w:tplc="04180005" w:tentative="1">
      <w:start w:val="1"/>
      <w:numFmt w:val="bullet"/>
      <w:lvlText w:val=""/>
      <w:lvlJc w:val="left"/>
      <w:pPr>
        <w:ind w:left="10014" w:hanging="360"/>
      </w:pPr>
      <w:rPr>
        <w:rFonts w:ascii="Wingdings" w:hAnsi="Wingdings" w:hint="default"/>
      </w:rPr>
    </w:lvl>
    <w:lvl w:ilvl="6" w:tplc="04180001" w:tentative="1">
      <w:start w:val="1"/>
      <w:numFmt w:val="bullet"/>
      <w:lvlText w:val=""/>
      <w:lvlJc w:val="left"/>
      <w:pPr>
        <w:ind w:left="10734" w:hanging="360"/>
      </w:pPr>
      <w:rPr>
        <w:rFonts w:ascii="Symbol" w:hAnsi="Symbol" w:hint="default"/>
      </w:rPr>
    </w:lvl>
    <w:lvl w:ilvl="7" w:tplc="04180003" w:tentative="1">
      <w:start w:val="1"/>
      <w:numFmt w:val="bullet"/>
      <w:lvlText w:val="o"/>
      <w:lvlJc w:val="left"/>
      <w:pPr>
        <w:ind w:left="11454" w:hanging="360"/>
      </w:pPr>
      <w:rPr>
        <w:rFonts w:ascii="Courier New" w:hAnsi="Courier New" w:cs="Courier New" w:hint="default"/>
      </w:rPr>
    </w:lvl>
    <w:lvl w:ilvl="8" w:tplc="04180005" w:tentative="1">
      <w:start w:val="1"/>
      <w:numFmt w:val="bullet"/>
      <w:lvlText w:val=""/>
      <w:lvlJc w:val="left"/>
      <w:pPr>
        <w:ind w:left="12174" w:hanging="360"/>
      </w:pPr>
      <w:rPr>
        <w:rFonts w:ascii="Wingdings" w:hAnsi="Wingdings" w:hint="default"/>
      </w:rPr>
    </w:lvl>
  </w:abstractNum>
  <w:abstractNum w:abstractNumId="28">
    <w:nsid w:val="7A3051AF"/>
    <w:multiLevelType w:val="hybridMultilevel"/>
    <w:tmpl w:val="9D7C0F76"/>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7BDD2FB3"/>
    <w:multiLevelType w:val="hybridMultilevel"/>
    <w:tmpl w:val="FAB6DA30"/>
    <w:lvl w:ilvl="0" w:tplc="B8ECC660">
      <w:start w:val="1"/>
      <w:numFmt w:val="lowerLetter"/>
      <w:lvlText w:val="%1)"/>
      <w:lvlJc w:val="left"/>
      <w:pPr>
        <w:ind w:left="540" w:hanging="360"/>
      </w:pPr>
      <w:rPr>
        <w:rFonts w:hint="default"/>
        <w:color w:val="auto"/>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num w:numId="1">
    <w:abstractNumId w:val="27"/>
  </w:num>
  <w:num w:numId="2">
    <w:abstractNumId w:val="28"/>
  </w:num>
  <w:num w:numId="3">
    <w:abstractNumId w:val="10"/>
  </w:num>
  <w:num w:numId="4">
    <w:abstractNumId w:val="1"/>
  </w:num>
  <w:num w:numId="5">
    <w:abstractNumId w:val="18"/>
  </w:num>
  <w:num w:numId="6">
    <w:abstractNumId w:val="4"/>
  </w:num>
  <w:num w:numId="7">
    <w:abstractNumId w:val="9"/>
  </w:num>
  <w:num w:numId="8">
    <w:abstractNumId w:val="29"/>
  </w:num>
  <w:num w:numId="9">
    <w:abstractNumId w:val="14"/>
  </w:num>
  <w:num w:numId="10">
    <w:abstractNumId w:val="21"/>
  </w:num>
  <w:num w:numId="11">
    <w:abstractNumId w:val="11"/>
  </w:num>
  <w:num w:numId="12">
    <w:abstractNumId w:val="8"/>
  </w:num>
  <w:num w:numId="13">
    <w:abstractNumId w:val="13"/>
  </w:num>
  <w:num w:numId="14">
    <w:abstractNumId w:val="17"/>
  </w:num>
  <w:num w:numId="15">
    <w:abstractNumId w:val="2"/>
  </w:num>
  <w:num w:numId="16">
    <w:abstractNumId w:val="26"/>
  </w:num>
  <w:num w:numId="17">
    <w:abstractNumId w:val="5"/>
  </w:num>
  <w:num w:numId="18">
    <w:abstractNumId w:val="3"/>
  </w:num>
  <w:num w:numId="19">
    <w:abstractNumId w:val="20"/>
  </w:num>
  <w:num w:numId="20">
    <w:abstractNumId w:val="24"/>
  </w:num>
  <w:num w:numId="21">
    <w:abstractNumId w:val="0"/>
  </w:num>
  <w:num w:numId="22">
    <w:abstractNumId w:val="16"/>
  </w:num>
  <w:num w:numId="23">
    <w:abstractNumId w:val="22"/>
  </w:num>
  <w:num w:numId="24">
    <w:abstractNumId w:val="23"/>
  </w:num>
  <w:num w:numId="25">
    <w:abstractNumId w:val="19"/>
  </w:num>
  <w:num w:numId="26">
    <w:abstractNumId w:val="6"/>
  </w:num>
  <w:num w:numId="27">
    <w:abstractNumId w:val="15"/>
  </w:num>
  <w:num w:numId="28">
    <w:abstractNumId w:val="12"/>
  </w:num>
  <w:num w:numId="29">
    <w:abstractNumId w:val="2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595049"/>
    <w:rsid w:val="00003126"/>
    <w:rsid w:val="00006973"/>
    <w:rsid w:val="0000776E"/>
    <w:rsid w:val="000169FF"/>
    <w:rsid w:val="00017423"/>
    <w:rsid w:val="00023D4B"/>
    <w:rsid w:val="0003400D"/>
    <w:rsid w:val="0003745D"/>
    <w:rsid w:val="0005509E"/>
    <w:rsid w:val="00056608"/>
    <w:rsid w:val="00066390"/>
    <w:rsid w:val="00070C14"/>
    <w:rsid w:val="00081BA7"/>
    <w:rsid w:val="00097D50"/>
    <w:rsid w:val="000A1902"/>
    <w:rsid w:val="000B2F1F"/>
    <w:rsid w:val="000B53BA"/>
    <w:rsid w:val="000C47E9"/>
    <w:rsid w:val="000D0A40"/>
    <w:rsid w:val="000D5438"/>
    <w:rsid w:val="000E0E4E"/>
    <w:rsid w:val="000E5099"/>
    <w:rsid w:val="000F2D29"/>
    <w:rsid w:val="000F4DD5"/>
    <w:rsid w:val="0011308F"/>
    <w:rsid w:val="001212F7"/>
    <w:rsid w:val="0014241F"/>
    <w:rsid w:val="00147E83"/>
    <w:rsid w:val="00151FC5"/>
    <w:rsid w:val="001552BE"/>
    <w:rsid w:val="0016327F"/>
    <w:rsid w:val="001767EA"/>
    <w:rsid w:val="00183159"/>
    <w:rsid w:val="00185D52"/>
    <w:rsid w:val="00195951"/>
    <w:rsid w:val="00197AFB"/>
    <w:rsid w:val="001B10F2"/>
    <w:rsid w:val="001B1DB4"/>
    <w:rsid w:val="001B690A"/>
    <w:rsid w:val="001B776F"/>
    <w:rsid w:val="001B7DE0"/>
    <w:rsid w:val="001C09B3"/>
    <w:rsid w:val="001D04A8"/>
    <w:rsid w:val="001D7A73"/>
    <w:rsid w:val="0020155B"/>
    <w:rsid w:val="002021EF"/>
    <w:rsid w:val="0020285B"/>
    <w:rsid w:val="00207E47"/>
    <w:rsid w:val="002141B3"/>
    <w:rsid w:val="00222482"/>
    <w:rsid w:val="00223864"/>
    <w:rsid w:val="002515A4"/>
    <w:rsid w:val="002730BB"/>
    <w:rsid w:val="0027599D"/>
    <w:rsid w:val="002D4FFD"/>
    <w:rsid w:val="002D706D"/>
    <w:rsid w:val="002D72DD"/>
    <w:rsid w:val="002D7E78"/>
    <w:rsid w:val="002E2E7A"/>
    <w:rsid w:val="002F7173"/>
    <w:rsid w:val="0030428A"/>
    <w:rsid w:val="003062ED"/>
    <w:rsid w:val="003128E8"/>
    <w:rsid w:val="0031437B"/>
    <w:rsid w:val="003165B4"/>
    <w:rsid w:val="00323F11"/>
    <w:rsid w:val="0032570F"/>
    <w:rsid w:val="003265AC"/>
    <w:rsid w:val="00330D9B"/>
    <w:rsid w:val="00362332"/>
    <w:rsid w:val="00362621"/>
    <w:rsid w:val="0036362D"/>
    <w:rsid w:val="00380208"/>
    <w:rsid w:val="00385B9E"/>
    <w:rsid w:val="003A38A6"/>
    <w:rsid w:val="003A4AFE"/>
    <w:rsid w:val="003B2594"/>
    <w:rsid w:val="003C5374"/>
    <w:rsid w:val="003D441D"/>
    <w:rsid w:val="003E4E32"/>
    <w:rsid w:val="003E5BCE"/>
    <w:rsid w:val="003F2AA7"/>
    <w:rsid w:val="004015F4"/>
    <w:rsid w:val="00402709"/>
    <w:rsid w:val="00405762"/>
    <w:rsid w:val="00411797"/>
    <w:rsid w:val="0041654C"/>
    <w:rsid w:val="00420160"/>
    <w:rsid w:val="00420977"/>
    <w:rsid w:val="00426092"/>
    <w:rsid w:val="004341C8"/>
    <w:rsid w:val="004345A3"/>
    <w:rsid w:val="00437043"/>
    <w:rsid w:val="004441D4"/>
    <w:rsid w:val="0044754E"/>
    <w:rsid w:val="00453098"/>
    <w:rsid w:val="0045385B"/>
    <w:rsid w:val="00454E4B"/>
    <w:rsid w:val="004574F8"/>
    <w:rsid w:val="00463A2B"/>
    <w:rsid w:val="004746DE"/>
    <w:rsid w:val="00476615"/>
    <w:rsid w:val="00482F7B"/>
    <w:rsid w:val="004914F7"/>
    <w:rsid w:val="004939CE"/>
    <w:rsid w:val="004961A9"/>
    <w:rsid w:val="004A255D"/>
    <w:rsid w:val="004A3F63"/>
    <w:rsid w:val="004A7A65"/>
    <w:rsid w:val="004A7CBA"/>
    <w:rsid w:val="004B6F9C"/>
    <w:rsid w:val="004D2DD2"/>
    <w:rsid w:val="004D2EB9"/>
    <w:rsid w:val="004D4213"/>
    <w:rsid w:val="004E412F"/>
    <w:rsid w:val="004E5950"/>
    <w:rsid w:val="004F2DD1"/>
    <w:rsid w:val="004F37E0"/>
    <w:rsid w:val="004F603C"/>
    <w:rsid w:val="0050053F"/>
    <w:rsid w:val="00523387"/>
    <w:rsid w:val="00530C5A"/>
    <w:rsid w:val="0053147F"/>
    <w:rsid w:val="00535589"/>
    <w:rsid w:val="00561B2A"/>
    <w:rsid w:val="0058384F"/>
    <w:rsid w:val="00587265"/>
    <w:rsid w:val="0059434C"/>
    <w:rsid w:val="00595049"/>
    <w:rsid w:val="005951BD"/>
    <w:rsid w:val="005A1503"/>
    <w:rsid w:val="005C17A2"/>
    <w:rsid w:val="005C21CE"/>
    <w:rsid w:val="005F62AB"/>
    <w:rsid w:val="00630EC3"/>
    <w:rsid w:val="00637FF5"/>
    <w:rsid w:val="00645887"/>
    <w:rsid w:val="00657645"/>
    <w:rsid w:val="00667D6E"/>
    <w:rsid w:val="00670355"/>
    <w:rsid w:val="006721CC"/>
    <w:rsid w:val="00683BDE"/>
    <w:rsid w:val="006943FF"/>
    <w:rsid w:val="006A354D"/>
    <w:rsid w:val="006A57DA"/>
    <w:rsid w:val="006A6600"/>
    <w:rsid w:val="006A769F"/>
    <w:rsid w:val="006A78DF"/>
    <w:rsid w:val="006B3651"/>
    <w:rsid w:val="006B6A38"/>
    <w:rsid w:val="006D2301"/>
    <w:rsid w:val="006D4C2E"/>
    <w:rsid w:val="006E2D7F"/>
    <w:rsid w:val="006E3D8B"/>
    <w:rsid w:val="006E462B"/>
    <w:rsid w:val="006F0662"/>
    <w:rsid w:val="006F46B2"/>
    <w:rsid w:val="006F7DE5"/>
    <w:rsid w:val="0071361C"/>
    <w:rsid w:val="007151E9"/>
    <w:rsid w:val="00716533"/>
    <w:rsid w:val="00721745"/>
    <w:rsid w:val="00727D51"/>
    <w:rsid w:val="0073546F"/>
    <w:rsid w:val="00735F1A"/>
    <w:rsid w:val="00736986"/>
    <w:rsid w:val="0075395D"/>
    <w:rsid w:val="00755D5D"/>
    <w:rsid w:val="0075675A"/>
    <w:rsid w:val="007602A7"/>
    <w:rsid w:val="0078525C"/>
    <w:rsid w:val="00794AD4"/>
    <w:rsid w:val="007A3CA4"/>
    <w:rsid w:val="007C2FB6"/>
    <w:rsid w:val="007E0454"/>
    <w:rsid w:val="007F0C0F"/>
    <w:rsid w:val="007F50C3"/>
    <w:rsid w:val="00802569"/>
    <w:rsid w:val="008071F5"/>
    <w:rsid w:val="00811A0E"/>
    <w:rsid w:val="00821D2B"/>
    <w:rsid w:val="008227C2"/>
    <w:rsid w:val="008227CC"/>
    <w:rsid w:val="0084559D"/>
    <w:rsid w:val="008466A5"/>
    <w:rsid w:val="00856887"/>
    <w:rsid w:val="008644FE"/>
    <w:rsid w:val="00864BAC"/>
    <w:rsid w:val="00866425"/>
    <w:rsid w:val="00867460"/>
    <w:rsid w:val="008808D7"/>
    <w:rsid w:val="00882407"/>
    <w:rsid w:val="008B2BE8"/>
    <w:rsid w:val="008B7F76"/>
    <w:rsid w:val="008C7E4F"/>
    <w:rsid w:val="008D01CC"/>
    <w:rsid w:val="008D08B0"/>
    <w:rsid w:val="008D1972"/>
    <w:rsid w:val="008D7836"/>
    <w:rsid w:val="008E3199"/>
    <w:rsid w:val="008F48E4"/>
    <w:rsid w:val="008F50BF"/>
    <w:rsid w:val="0090217D"/>
    <w:rsid w:val="00903F09"/>
    <w:rsid w:val="00910298"/>
    <w:rsid w:val="00913AE8"/>
    <w:rsid w:val="00915255"/>
    <w:rsid w:val="00917784"/>
    <w:rsid w:val="0092224C"/>
    <w:rsid w:val="00923FDD"/>
    <w:rsid w:val="0092561D"/>
    <w:rsid w:val="009432C6"/>
    <w:rsid w:val="0094347F"/>
    <w:rsid w:val="00951A34"/>
    <w:rsid w:val="00953B40"/>
    <w:rsid w:val="00966710"/>
    <w:rsid w:val="00971308"/>
    <w:rsid w:val="00977088"/>
    <w:rsid w:val="00981A16"/>
    <w:rsid w:val="0098269B"/>
    <w:rsid w:val="009866A2"/>
    <w:rsid w:val="009910E9"/>
    <w:rsid w:val="009C523E"/>
    <w:rsid w:val="009C73F2"/>
    <w:rsid w:val="009D5E3D"/>
    <w:rsid w:val="009E31B1"/>
    <w:rsid w:val="009F1CB2"/>
    <w:rsid w:val="009F606E"/>
    <w:rsid w:val="009F6AC9"/>
    <w:rsid w:val="00A1400D"/>
    <w:rsid w:val="00A14B2E"/>
    <w:rsid w:val="00A16ADD"/>
    <w:rsid w:val="00A2367C"/>
    <w:rsid w:val="00A247E9"/>
    <w:rsid w:val="00A3511D"/>
    <w:rsid w:val="00A42D48"/>
    <w:rsid w:val="00A44AB1"/>
    <w:rsid w:val="00A468A3"/>
    <w:rsid w:val="00A550CC"/>
    <w:rsid w:val="00A638E7"/>
    <w:rsid w:val="00A748B5"/>
    <w:rsid w:val="00A80873"/>
    <w:rsid w:val="00A847D2"/>
    <w:rsid w:val="00A86BA5"/>
    <w:rsid w:val="00A96172"/>
    <w:rsid w:val="00AA104B"/>
    <w:rsid w:val="00AA2AC3"/>
    <w:rsid w:val="00AC051F"/>
    <w:rsid w:val="00AD422E"/>
    <w:rsid w:val="00AD68B2"/>
    <w:rsid w:val="00AE160D"/>
    <w:rsid w:val="00AE50F2"/>
    <w:rsid w:val="00AF473F"/>
    <w:rsid w:val="00B01A74"/>
    <w:rsid w:val="00B01F67"/>
    <w:rsid w:val="00B02DE2"/>
    <w:rsid w:val="00B30B51"/>
    <w:rsid w:val="00B3192B"/>
    <w:rsid w:val="00B37FC7"/>
    <w:rsid w:val="00B44F64"/>
    <w:rsid w:val="00B56F32"/>
    <w:rsid w:val="00B720AC"/>
    <w:rsid w:val="00B72300"/>
    <w:rsid w:val="00B80795"/>
    <w:rsid w:val="00B928F2"/>
    <w:rsid w:val="00B94392"/>
    <w:rsid w:val="00B944BD"/>
    <w:rsid w:val="00BA126A"/>
    <w:rsid w:val="00BA4001"/>
    <w:rsid w:val="00BA7F76"/>
    <w:rsid w:val="00BA7FFE"/>
    <w:rsid w:val="00BB3CE5"/>
    <w:rsid w:val="00BC1911"/>
    <w:rsid w:val="00BC34D9"/>
    <w:rsid w:val="00BC6B3C"/>
    <w:rsid w:val="00BD7143"/>
    <w:rsid w:val="00BD76BE"/>
    <w:rsid w:val="00BE21C4"/>
    <w:rsid w:val="00BE7420"/>
    <w:rsid w:val="00BF3C23"/>
    <w:rsid w:val="00C02166"/>
    <w:rsid w:val="00C10E32"/>
    <w:rsid w:val="00C113B8"/>
    <w:rsid w:val="00C1781C"/>
    <w:rsid w:val="00C316DD"/>
    <w:rsid w:val="00C36075"/>
    <w:rsid w:val="00C371B6"/>
    <w:rsid w:val="00C37498"/>
    <w:rsid w:val="00C37914"/>
    <w:rsid w:val="00C476C2"/>
    <w:rsid w:val="00C60987"/>
    <w:rsid w:val="00C64E19"/>
    <w:rsid w:val="00C82A64"/>
    <w:rsid w:val="00CA1754"/>
    <w:rsid w:val="00CA21A1"/>
    <w:rsid w:val="00CA3E97"/>
    <w:rsid w:val="00CA620A"/>
    <w:rsid w:val="00CB75E5"/>
    <w:rsid w:val="00CC5103"/>
    <w:rsid w:val="00CC6BD7"/>
    <w:rsid w:val="00CD7989"/>
    <w:rsid w:val="00CE4659"/>
    <w:rsid w:val="00CF135B"/>
    <w:rsid w:val="00CF6346"/>
    <w:rsid w:val="00CF6D63"/>
    <w:rsid w:val="00D005FB"/>
    <w:rsid w:val="00D0445E"/>
    <w:rsid w:val="00D11328"/>
    <w:rsid w:val="00D201AE"/>
    <w:rsid w:val="00D2406C"/>
    <w:rsid w:val="00D24A75"/>
    <w:rsid w:val="00D34F96"/>
    <w:rsid w:val="00D3733C"/>
    <w:rsid w:val="00D410C1"/>
    <w:rsid w:val="00D473CF"/>
    <w:rsid w:val="00D615CD"/>
    <w:rsid w:val="00D92FFD"/>
    <w:rsid w:val="00DA116E"/>
    <w:rsid w:val="00DA2CA0"/>
    <w:rsid w:val="00DB3105"/>
    <w:rsid w:val="00E12E94"/>
    <w:rsid w:val="00E1451C"/>
    <w:rsid w:val="00E153CC"/>
    <w:rsid w:val="00E1585A"/>
    <w:rsid w:val="00E26471"/>
    <w:rsid w:val="00E308C0"/>
    <w:rsid w:val="00E40E36"/>
    <w:rsid w:val="00E41DF0"/>
    <w:rsid w:val="00E45B0E"/>
    <w:rsid w:val="00E50556"/>
    <w:rsid w:val="00E50C81"/>
    <w:rsid w:val="00E57D2D"/>
    <w:rsid w:val="00E63EBF"/>
    <w:rsid w:val="00E65D4A"/>
    <w:rsid w:val="00E75846"/>
    <w:rsid w:val="00E807C6"/>
    <w:rsid w:val="00E81AD1"/>
    <w:rsid w:val="00E869BF"/>
    <w:rsid w:val="00E9518A"/>
    <w:rsid w:val="00EA1CBC"/>
    <w:rsid w:val="00EB3778"/>
    <w:rsid w:val="00EB5FC1"/>
    <w:rsid w:val="00EC7852"/>
    <w:rsid w:val="00EF6CEB"/>
    <w:rsid w:val="00F015A5"/>
    <w:rsid w:val="00F07B91"/>
    <w:rsid w:val="00F17E23"/>
    <w:rsid w:val="00F20D7A"/>
    <w:rsid w:val="00F27109"/>
    <w:rsid w:val="00F34ADB"/>
    <w:rsid w:val="00F50153"/>
    <w:rsid w:val="00F5739F"/>
    <w:rsid w:val="00F6203C"/>
    <w:rsid w:val="00FC1A11"/>
    <w:rsid w:val="00FC380D"/>
    <w:rsid w:val="00FD15DF"/>
    <w:rsid w:val="00FE0D91"/>
    <w:rsid w:val="00FF206D"/>
    <w:rsid w:val="00FF5B8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4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95049"/>
    <w:pPr>
      <w:ind w:left="720"/>
      <w:contextualSpacing/>
    </w:pPr>
  </w:style>
  <w:style w:type="table" w:styleId="GrilTabel">
    <w:name w:val="Table Grid"/>
    <w:basedOn w:val="TabelNormal"/>
    <w:uiPriority w:val="59"/>
    <w:rsid w:val="00595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ntet">
    <w:name w:val="header"/>
    <w:aliases w:val="Header Char,Header Char1,Header Char Char,Header Char1 Char Char,Header Char Char Char Char,Header Char1 Char Char Char Char,Header Char Char Char Char Char Char,Char Char Char Char Char Char Char,Header Char Char1 Char Char,Header Char1 Char,C"/>
    <w:basedOn w:val="Normal"/>
    <w:link w:val="AntetCaracter"/>
    <w:semiHidden/>
    <w:unhideWhenUsed/>
    <w:rsid w:val="0020285B"/>
    <w:pPr>
      <w:tabs>
        <w:tab w:val="center" w:pos="4513"/>
        <w:tab w:val="right" w:pos="9026"/>
      </w:tabs>
      <w:spacing w:after="0" w:line="240" w:lineRule="auto"/>
    </w:pPr>
  </w:style>
  <w:style w:type="character" w:customStyle="1" w:styleId="AntetCaracter">
    <w:name w:val="Antet Caracter"/>
    <w:aliases w:val="Header Char Caracter,Header Char1 Caracter,Header Char Char Caracter,Header Char1 Char Char Caracter,Header Char Char Char Char Caracter,Header Char1 Char Char Char Char Caracter,Header Char Char Char Char Char Char Caracter,C Caracter"/>
    <w:basedOn w:val="Fontdeparagrafimplicit"/>
    <w:link w:val="Antet"/>
    <w:semiHidden/>
    <w:rsid w:val="0020285B"/>
  </w:style>
  <w:style w:type="paragraph" w:styleId="Subsol">
    <w:name w:val="footer"/>
    <w:basedOn w:val="Normal"/>
    <w:link w:val="SubsolCaracter"/>
    <w:uiPriority w:val="99"/>
    <w:unhideWhenUsed/>
    <w:rsid w:val="0020285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0285B"/>
  </w:style>
  <w:style w:type="paragraph" w:styleId="Textnotdesubsol">
    <w:name w:val="footnote text"/>
    <w:basedOn w:val="Normal"/>
    <w:link w:val="TextnotdesubsolCaracter"/>
    <w:uiPriority w:val="99"/>
    <w:unhideWhenUsed/>
    <w:rsid w:val="0020285B"/>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20285B"/>
    <w:rPr>
      <w:sz w:val="20"/>
      <w:szCs w:val="20"/>
    </w:rPr>
  </w:style>
  <w:style w:type="character" w:styleId="Referinnotdesubsol">
    <w:name w:val="footnote reference"/>
    <w:basedOn w:val="Fontdeparagrafimplicit"/>
    <w:uiPriority w:val="99"/>
    <w:semiHidden/>
    <w:unhideWhenUsed/>
    <w:rsid w:val="0020285B"/>
    <w:rPr>
      <w:vertAlign w:val="superscript"/>
    </w:rPr>
  </w:style>
  <w:style w:type="character" w:styleId="Robust">
    <w:name w:val="Strong"/>
    <w:basedOn w:val="Fontdeparagrafimplicit"/>
    <w:uiPriority w:val="22"/>
    <w:qFormat/>
    <w:rsid w:val="00F34ADB"/>
    <w:rPr>
      <w:b/>
      <w:bCs/>
    </w:rPr>
  </w:style>
</w:styles>
</file>

<file path=word/webSettings.xml><?xml version="1.0" encoding="utf-8"?>
<w:webSettings xmlns:r="http://schemas.openxmlformats.org/officeDocument/2006/relationships" xmlns:w="http://schemas.openxmlformats.org/wordprocessingml/2006/main">
  <w:divs>
    <w:div w:id="325521842">
      <w:bodyDiv w:val="1"/>
      <w:marLeft w:val="0"/>
      <w:marRight w:val="0"/>
      <w:marTop w:val="0"/>
      <w:marBottom w:val="0"/>
      <w:divBdr>
        <w:top w:val="none" w:sz="0" w:space="0" w:color="auto"/>
        <w:left w:val="none" w:sz="0" w:space="0" w:color="auto"/>
        <w:bottom w:val="none" w:sz="0" w:space="0" w:color="auto"/>
        <w:right w:val="none" w:sz="0" w:space="0" w:color="auto"/>
      </w:divBdr>
    </w:div>
    <w:div w:id="7815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579D-DCF5-47B0-B675-B206C960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1594</Words>
  <Characters>9249</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2014-08-13T05:31:00Z</cp:lastPrinted>
  <dcterms:created xsi:type="dcterms:W3CDTF">2014-08-11T10:05:00Z</dcterms:created>
  <dcterms:modified xsi:type="dcterms:W3CDTF">2014-08-13T06:00:00Z</dcterms:modified>
</cp:coreProperties>
</file>